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 w:eastAsia="仿宋_GB2312"/>
          <w:sz w:val="32"/>
          <w:szCs w:val="32"/>
        </w:rPr>
      </w:pPr>
      <w:r>
        <w:rPr>
          <w:rFonts w:hint="eastAsia" w:ascii="仿宋_GB2312" w:hAnsi="仿宋" w:eastAsia="仿宋_GB2312"/>
          <w:sz w:val="32"/>
          <w:szCs w:val="32"/>
        </w:rPr>
        <w:t>附件1</w:t>
      </w:r>
    </w:p>
    <w:p>
      <w:pPr>
        <w:spacing w:before="156" w:beforeLines="50" w:after="156" w:afterLines="50" w:line="700" w:lineRule="exact"/>
        <w:ind w:right="159"/>
        <w:jc w:val="center"/>
        <w:rPr>
          <w:rFonts w:ascii="小标宋" w:hAnsi="方正小标宋简体" w:eastAsia="小标宋"/>
          <w:sz w:val="44"/>
          <w:szCs w:val="44"/>
        </w:rPr>
      </w:pPr>
      <w:r>
        <w:rPr>
          <w:rFonts w:hint="eastAsia" w:ascii="微软雅黑" w:hAnsi="微软雅黑" w:eastAsia="微软雅黑" w:cs="微软雅黑"/>
          <w:sz w:val="44"/>
          <w:szCs w:val="44"/>
        </w:rPr>
        <w:t>科创中国</w:t>
      </w:r>
      <w:r>
        <w:rPr>
          <w:rFonts w:hint="eastAsia" w:ascii="Malgun Gothic Semilight" w:hAnsi="Malgun Gothic Semilight" w:eastAsia="Malgun Gothic Semilight" w:cs="Malgun Gothic Semilight"/>
          <w:sz w:val="44"/>
          <w:szCs w:val="44"/>
        </w:rPr>
        <w:t>”</w:t>
      </w:r>
      <w:r>
        <w:rPr>
          <w:rFonts w:hint="eastAsia" w:ascii="微软雅黑" w:hAnsi="微软雅黑" w:eastAsia="微软雅黑" w:cs="微软雅黑"/>
          <w:sz w:val="44"/>
          <w:szCs w:val="44"/>
        </w:rPr>
        <w:t>平台科技成果产业化方案</w:t>
      </w:r>
    </w:p>
    <w:tbl>
      <w:tblPr>
        <w:tblStyle w:val="13"/>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jc w:val="left"/>
              <w:rPr>
                <w:rFonts w:ascii="仿宋_GB2312" w:eastAsia="仿宋_GB2312"/>
                <w:kern w:val="0"/>
                <w:sz w:val="32"/>
                <w:szCs w:val="32"/>
              </w:rPr>
            </w:pPr>
            <w:r>
              <w:rPr>
                <w:rFonts w:hint="eastAsia" w:ascii="仿宋_GB2312" w:eastAsia="仿宋_GB2312"/>
                <w:kern w:val="0"/>
                <w:sz w:val="32"/>
                <w:szCs w:val="32"/>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特斯联科技集团有限公司开展了电子信息领域标准大数据公共服务平台建设的攻关研究，有效解决电子信息领域标准数据资源分散、难以规整融合、缺乏智能应用工具提供数据服务等一系列问题，从而提升标准的推广性和应用性，推动 “标准数据”向“标准知识”过渡，并利用“标准知识”支撑引领产业发展道路。实现指标：建成电子信息领域标准大数据平台及综合门户1套，提供标准大数据可视化、智能检索、智能问答、精准推送、实施意见反馈、实施效果评价、数据共享交换、产业链用标情况分析与决策支撑等主要功能，其中包含不少于2</w:t>
            </w:r>
            <w:r>
              <w:rPr>
                <w:rFonts w:ascii="仿宋_GB2312" w:eastAsia="仿宋_GB2312"/>
                <w:bCs/>
                <w:kern w:val="0"/>
                <w:sz w:val="32"/>
                <w:szCs w:val="32"/>
              </w:rPr>
              <w:t>000</w:t>
            </w:r>
            <w:r>
              <w:rPr>
                <w:rFonts w:hint="eastAsia" w:ascii="仿宋_GB2312" w:eastAsia="仿宋_GB2312"/>
                <w:bCs/>
                <w:kern w:val="0"/>
                <w:sz w:val="32"/>
                <w:szCs w:val="32"/>
              </w:rPr>
              <w:t>个标准参考数据集、不少于5</w:t>
            </w:r>
            <w:r>
              <w:rPr>
                <w:rFonts w:ascii="仿宋_GB2312" w:eastAsia="仿宋_GB2312"/>
                <w:bCs/>
                <w:kern w:val="0"/>
                <w:sz w:val="32"/>
                <w:szCs w:val="32"/>
              </w:rPr>
              <w:t>000</w:t>
            </w:r>
            <w:r>
              <w:rPr>
                <w:rFonts w:hint="eastAsia" w:ascii="仿宋_GB2312" w:eastAsia="仿宋_GB2312"/>
                <w:bCs/>
                <w:kern w:val="0"/>
                <w:sz w:val="32"/>
                <w:szCs w:val="32"/>
              </w:rPr>
              <w:t>项标准题录数据、技术链图谱数据库1套、产业链基本数据库1套、用标分析工具1套，形成研究报告不少于7份、学术论文不少于5篇、专利不少于4项、软著不少于2项，并向不少于3</w:t>
            </w:r>
            <w:r>
              <w:rPr>
                <w:rFonts w:ascii="仿宋_GB2312" w:eastAsia="仿宋_GB2312"/>
                <w:bCs/>
                <w:kern w:val="0"/>
                <w:sz w:val="32"/>
                <w:szCs w:val="32"/>
              </w:rPr>
              <w:t>00</w:t>
            </w:r>
            <w:r>
              <w:rPr>
                <w:rFonts w:hint="eastAsia" w:ascii="仿宋_GB2312" w:eastAsia="仿宋_GB2312"/>
                <w:bCs/>
                <w:kern w:val="0"/>
                <w:sz w:val="32"/>
                <w:szCs w:val="32"/>
              </w:rPr>
              <w:t>家企业提供服务。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jc w:val="left"/>
              <w:rPr>
                <w:rFonts w:ascii="仿宋_GB2312" w:eastAsia="仿宋_GB2312"/>
                <w:b/>
                <w:bCs/>
                <w:kern w:val="0"/>
                <w:sz w:val="32"/>
                <w:szCs w:val="32"/>
              </w:rPr>
            </w:pPr>
            <w:r>
              <w:rPr>
                <w:rFonts w:hint="eastAsia" w:ascii="仿宋_GB2312" w:eastAsia="仿宋_GB2312"/>
                <w:kern w:val="0"/>
                <w:sz w:val="32"/>
                <w:szCs w:val="32"/>
              </w:rPr>
              <w:t>技术亮点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3" w:firstLineChars="200"/>
              <w:jc w:val="left"/>
              <w:rPr>
                <w:rFonts w:ascii="仿宋_GB2312" w:eastAsia="仿宋_GB2312"/>
                <w:b/>
                <w:bCs/>
                <w:kern w:val="0"/>
                <w:sz w:val="32"/>
                <w:szCs w:val="32"/>
              </w:rPr>
            </w:pPr>
            <w:r>
              <w:rPr>
                <w:rFonts w:hint="eastAsia" w:ascii="仿宋_GB2312" w:eastAsia="仿宋_GB2312"/>
                <w:b/>
                <w:bCs/>
                <w:kern w:val="0"/>
                <w:sz w:val="32"/>
                <w:szCs w:val="32"/>
              </w:rPr>
              <w:t>1、有效扩大标准检索的范围、丰富检索内容，促进电子信息领域标准的数字化转型。</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传统标准信息检索的方法和手段具有很大的局限性，尚处于初级搜索检索阶段，主要表现在：标准全文检索缺失，仍停留在标准题录的检索。借助新的检索手段，可以实现检索智能化，可以实现对标准信息内容的直接抽取。实现了传统的信息检索向高精度检索、文本挖掘、知识发现等方向转变。</w:t>
            </w:r>
          </w:p>
          <w:p>
            <w:pPr>
              <w:ind w:firstLine="643" w:firstLineChars="200"/>
              <w:jc w:val="left"/>
              <w:rPr>
                <w:rFonts w:ascii="仿宋_GB2312" w:eastAsia="仿宋_GB2312"/>
                <w:b/>
                <w:bCs/>
                <w:kern w:val="0"/>
                <w:sz w:val="32"/>
                <w:szCs w:val="32"/>
              </w:rPr>
            </w:pPr>
            <w:r>
              <w:rPr>
                <w:rFonts w:ascii="仿宋_GB2312" w:eastAsia="仿宋_GB2312"/>
                <w:b/>
                <w:bCs/>
                <w:kern w:val="0"/>
                <w:sz w:val="32"/>
                <w:szCs w:val="32"/>
              </w:rPr>
              <w:t>2</w:t>
            </w:r>
            <w:r>
              <w:rPr>
                <w:rFonts w:hint="eastAsia" w:ascii="仿宋_GB2312" w:eastAsia="仿宋_GB2312"/>
                <w:b/>
                <w:bCs/>
                <w:kern w:val="0"/>
                <w:sz w:val="32"/>
                <w:szCs w:val="32"/>
              </w:rPr>
              <w:t>、通过标准文本数字化的转化技术，实现标准信息资源的深层次加工，充分挖掘标准文献资源内在附加值。</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标准文本进行数字化转后，可以进行标准立项前的查新，可以轻松、高效的进行标准之间技术指标的比对，可以通过具体指标的查询，快速精确的对标准进行定位，可以对标准中强制性条款、关键性指标进行分析与研究。</w:t>
            </w:r>
          </w:p>
          <w:p>
            <w:pPr>
              <w:ind w:firstLine="643" w:firstLineChars="200"/>
              <w:jc w:val="left"/>
              <w:rPr>
                <w:rFonts w:ascii="仿宋_GB2312" w:eastAsia="仿宋_GB2312"/>
                <w:b/>
                <w:bCs/>
                <w:kern w:val="0"/>
                <w:sz w:val="32"/>
                <w:szCs w:val="32"/>
              </w:rPr>
            </w:pPr>
            <w:r>
              <w:rPr>
                <w:rFonts w:hint="eastAsia" w:ascii="仿宋_GB2312" w:eastAsia="仿宋_GB2312"/>
                <w:b/>
                <w:bCs/>
                <w:kern w:val="0"/>
                <w:sz w:val="32"/>
                <w:szCs w:val="32"/>
              </w:rPr>
              <w:t>3、构建标准实施效果评价系统，实现及时、动态、精准的实施效果评价分析。</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目前，我国对标准评价还没有形成一套科学的、公认的方法。通常是由标准制定单位或个人提出，主管或上级单位经过简单的聚类及比对分析，甚至个人主观判断做出标准水平评价结论。这种评价方法存在分析方法过于简单，评级不够全面、不够客观、与市场脱节等诸多缺点。该平台具有标准实施效果分析与评价功能，打通了标准实施效果啊的动态反馈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jc w:val="left"/>
              <w:rPr>
                <w:rFonts w:ascii="仿宋_GB2312" w:eastAsia="仿宋_GB2312"/>
                <w:kern w:val="0"/>
                <w:sz w:val="32"/>
                <w:szCs w:val="32"/>
              </w:rPr>
            </w:pPr>
            <w:r>
              <w:rPr>
                <w:rFonts w:hint="eastAsia" w:ascii="仿宋_GB2312" w:eastAsia="仿宋_GB2312"/>
                <w:kern w:val="0"/>
                <w:sz w:val="32"/>
                <w:szCs w:val="32"/>
              </w:rPr>
              <w:t>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电子信息领域标准大数据公共服务平台面向标准主管部门以及电子信息领域产业链的标准研制单位、标准应用用户和标准服务机构提供标准数据采集汇聚、挖掘分析、应用推广的全生命周期服务</w:t>
            </w:r>
          </w:p>
          <w:p>
            <w:pPr>
              <w:ind w:firstLine="643" w:firstLineChars="200"/>
              <w:jc w:val="left"/>
              <w:rPr>
                <w:rFonts w:ascii="仿宋_GB2312" w:eastAsia="仿宋_GB2312"/>
                <w:bCs/>
                <w:kern w:val="0"/>
                <w:sz w:val="32"/>
                <w:szCs w:val="32"/>
              </w:rPr>
            </w:pPr>
            <w:r>
              <w:rPr>
                <w:rFonts w:hint="eastAsia" w:ascii="仿宋_GB2312" w:eastAsia="仿宋_GB2312"/>
                <w:b/>
                <w:bCs/>
                <w:kern w:val="0"/>
                <w:sz w:val="32"/>
                <w:szCs w:val="32"/>
              </w:rPr>
              <w:t>1、对于标准主管部门，</w:t>
            </w:r>
            <w:r>
              <w:rPr>
                <w:rFonts w:hint="eastAsia" w:ascii="仿宋_GB2312" w:eastAsia="仿宋_GB2312"/>
                <w:bCs/>
                <w:kern w:val="0"/>
                <w:sz w:val="32"/>
                <w:szCs w:val="32"/>
              </w:rPr>
              <w:t>平台将通过产业链用标情况分析、产业链用标图谱、产业链用标舆情监测等功能，支撑主管部门找准我国电子信息领域现行标准的优势、弱项和短板，为找准产业基础再造基准提供保障，为标准升级行动提供基础设施支持；</w:t>
            </w:r>
          </w:p>
          <w:p>
            <w:pPr>
              <w:ind w:firstLine="643" w:firstLineChars="200"/>
              <w:jc w:val="left"/>
              <w:rPr>
                <w:rFonts w:ascii="仿宋_GB2312" w:eastAsia="仿宋_GB2312"/>
                <w:bCs/>
                <w:kern w:val="0"/>
                <w:sz w:val="32"/>
                <w:szCs w:val="32"/>
              </w:rPr>
            </w:pPr>
            <w:r>
              <w:rPr>
                <w:rFonts w:hint="eastAsia" w:ascii="仿宋_GB2312" w:eastAsia="仿宋_GB2312"/>
                <w:b/>
                <w:bCs/>
                <w:kern w:val="0"/>
                <w:sz w:val="32"/>
                <w:szCs w:val="32"/>
              </w:rPr>
              <w:t>2、对于标准研制单位，</w:t>
            </w:r>
            <w:r>
              <w:rPr>
                <w:rFonts w:hint="eastAsia" w:ascii="仿宋_GB2312" w:eastAsia="仿宋_GB2312"/>
                <w:bCs/>
                <w:kern w:val="0"/>
                <w:sz w:val="32"/>
                <w:szCs w:val="32"/>
              </w:rPr>
              <w:t>平台将通过标准比对工具、标准溯源工具、标准实施效果反馈系统等功能，支撑用户开展产业关键技术对标、技术短板分析、标准质量提升等一系列工作；</w:t>
            </w:r>
          </w:p>
          <w:p>
            <w:pPr>
              <w:ind w:firstLine="643" w:firstLineChars="200"/>
              <w:jc w:val="left"/>
              <w:rPr>
                <w:rFonts w:ascii="仿宋_GB2312" w:eastAsia="仿宋_GB2312"/>
                <w:bCs/>
                <w:kern w:val="0"/>
                <w:sz w:val="32"/>
                <w:szCs w:val="32"/>
              </w:rPr>
            </w:pPr>
            <w:r>
              <w:rPr>
                <w:rFonts w:hint="eastAsia" w:ascii="仿宋_GB2312" w:eastAsia="仿宋_GB2312"/>
                <w:b/>
                <w:bCs/>
                <w:kern w:val="0"/>
                <w:sz w:val="32"/>
                <w:szCs w:val="32"/>
              </w:rPr>
              <w:t>3、对于标准应用用户，</w:t>
            </w:r>
            <w:r>
              <w:rPr>
                <w:rFonts w:hint="eastAsia" w:ascii="仿宋_GB2312" w:eastAsia="仿宋_GB2312"/>
                <w:bCs/>
                <w:kern w:val="0"/>
                <w:sz w:val="32"/>
                <w:szCs w:val="32"/>
              </w:rPr>
              <w:t>平台提供了基于知识图谱技术的标准精准推送、智能检索、智能问答以及可视化服务，让标准更易理解、更便应用。此外，平台还通过开放数据接口、知识共享交换的方式，支撑电子信息领域重点行业产业链标准数据、标准知识的直接调用，实现行业级服务应用；</w:t>
            </w:r>
          </w:p>
          <w:p>
            <w:pPr>
              <w:ind w:firstLine="643" w:firstLineChars="200"/>
              <w:jc w:val="left"/>
              <w:rPr>
                <w:rFonts w:ascii="仿宋_GB2312" w:eastAsia="仿宋_GB2312"/>
                <w:bCs/>
                <w:kern w:val="0"/>
                <w:sz w:val="32"/>
                <w:szCs w:val="32"/>
              </w:rPr>
            </w:pPr>
            <w:r>
              <w:rPr>
                <w:rFonts w:hint="eastAsia" w:ascii="仿宋_GB2312" w:eastAsia="仿宋_GB2312"/>
                <w:b/>
                <w:bCs/>
                <w:kern w:val="0"/>
                <w:sz w:val="32"/>
                <w:szCs w:val="32"/>
              </w:rPr>
              <w:t>4、对于标准服务机构，</w:t>
            </w:r>
            <w:r>
              <w:rPr>
                <w:rFonts w:hint="eastAsia" w:ascii="仿宋_GB2312" w:eastAsia="仿宋_GB2312"/>
                <w:bCs/>
                <w:kern w:val="0"/>
                <w:sz w:val="32"/>
                <w:szCs w:val="32"/>
              </w:rPr>
              <w:t>平台提供了标准知识建模、挖掘、融合以及标准知识图谱的构建功能，通过提取标准中的基础要素与关键要素，让标准知识变得更系统、体系更完善，进而提升专业服务机构的咨询质量、培训效率。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jc w:val="left"/>
              <w:rPr>
                <w:rFonts w:ascii="仿宋_GB2312" w:eastAsia="仿宋_GB2312"/>
                <w:kern w:val="0"/>
                <w:sz w:val="32"/>
                <w:szCs w:val="32"/>
              </w:rPr>
            </w:pPr>
            <w:r>
              <w:rPr>
                <w:rFonts w:hint="eastAsia" w:ascii="仿宋_GB2312" w:eastAsia="仿宋_GB2312"/>
                <w:kern w:val="0"/>
                <w:sz w:val="32"/>
                <w:szCs w:val="32"/>
              </w:rPr>
              <w:t>团队概括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该项目由中国电子技术标准化研究院牵头，特斯联科技集团有限公司、北京明略软件系统有限公司、北京智谱华章科技有限公司、上海合合信息科技股份有限公司、中国汽车工程研究院股份有限公司、龙腾半导体股份有限公司、华南理工大学、北京大学、北京工业大学、之江实验室、山东新一代标准化研究院有限公司作为联合体单位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rPr>
                <w:rFonts w:ascii="仿宋_GB2312" w:eastAsia="仿宋_GB2312"/>
                <w:kern w:val="0"/>
                <w:sz w:val="32"/>
                <w:szCs w:val="32"/>
              </w:rPr>
            </w:pPr>
            <w:r>
              <w:rPr>
                <w:rFonts w:hint="eastAsia" w:ascii="仿宋_GB2312" w:eastAsia="仿宋_GB2312"/>
                <w:kern w:val="0"/>
                <w:sz w:val="32"/>
                <w:szCs w:val="32"/>
              </w:rPr>
              <w:t>产生的效益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该项目经费1</w:t>
            </w:r>
            <w:r>
              <w:rPr>
                <w:rFonts w:ascii="仿宋_GB2312" w:eastAsia="仿宋_GB2312"/>
                <w:bCs/>
                <w:kern w:val="0"/>
                <w:sz w:val="32"/>
                <w:szCs w:val="32"/>
              </w:rPr>
              <w:t>0000</w:t>
            </w:r>
            <w:r>
              <w:rPr>
                <w:rFonts w:hint="eastAsia" w:ascii="仿宋_GB2312" w:eastAsia="仿宋_GB2312"/>
                <w:bCs/>
                <w:kern w:val="0"/>
                <w:sz w:val="32"/>
                <w:szCs w:val="32"/>
              </w:rPr>
              <w:t>万元，其中国拨3</w:t>
            </w:r>
            <w:r>
              <w:rPr>
                <w:rFonts w:ascii="仿宋_GB2312" w:eastAsia="仿宋_GB2312"/>
                <w:bCs/>
                <w:kern w:val="0"/>
                <w:sz w:val="32"/>
                <w:szCs w:val="32"/>
              </w:rPr>
              <w:t>000</w:t>
            </w:r>
            <w:r>
              <w:rPr>
                <w:rFonts w:hint="eastAsia" w:ascii="仿宋_GB2312" w:eastAsia="仿宋_GB2312"/>
                <w:bCs/>
                <w:kern w:val="0"/>
                <w:sz w:val="32"/>
                <w:szCs w:val="32"/>
              </w:rPr>
              <w:t>万，自筹7</w:t>
            </w:r>
            <w:r>
              <w:rPr>
                <w:rFonts w:ascii="仿宋_GB2312" w:eastAsia="仿宋_GB2312"/>
                <w:bCs/>
                <w:kern w:val="0"/>
                <w:sz w:val="32"/>
                <w:szCs w:val="32"/>
              </w:rPr>
              <w:t>000</w:t>
            </w:r>
            <w:r>
              <w:rPr>
                <w:rFonts w:hint="eastAsia" w:ascii="仿宋_GB2312" w:eastAsia="仿宋_GB2312"/>
                <w:bCs/>
                <w:kern w:val="0"/>
                <w:sz w:val="32"/>
                <w:szCs w:val="32"/>
              </w:rPr>
              <w:t>万，项目于2</w:t>
            </w:r>
            <w:r>
              <w:rPr>
                <w:rFonts w:ascii="仿宋_GB2312" w:eastAsia="仿宋_GB2312"/>
                <w:bCs/>
                <w:kern w:val="0"/>
                <w:sz w:val="32"/>
                <w:szCs w:val="32"/>
              </w:rPr>
              <w:t>023</w:t>
            </w:r>
            <w:r>
              <w:rPr>
                <w:rFonts w:hint="eastAsia" w:ascii="仿宋_GB2312" w:eastAsia="仿宋_GB2312"/>
                <w:bCs/>
                <w:kern w:val="0"/>
                <w:sz w:val="32"/>
                <w:szCs w:val="32"/>
              </w:rPr>
              <w:t>年9月结题。</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通过该项目促进产业发展，在电子信息产业发展方面，为实现我国电子信息领域标准数字化、信息化、智能化目标，通过开展标准信息大数据平台建设，开展系统相关的应用创新模式，促进标准信息与产业链融合发展，对于企业、行业、产业层面都具有十分重要的社会效益。</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通过该项目提升服务能力，形成面向电子信息领域标准参考大数据公共服务平台与自主的标准参考数据资源池，使用大数据、人工智能、区块链等技术提供成套、成体系的标准数据服务，包括标准查询与检索、标准参考数据分析、产业知识图谱可视化展示等功能，不断提升面向电子信息领域标准数据使用者的各方服务能力。</w:t>
            </w:r>
          </w:p>
          <w:p>
            <w:pPr>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通过该项目进行标准人才培养，组织开展基于产业链图谱的公共服务平台的设计开发、技术培训、标准贯宣等，预计培养标准参考数据分析人员、标准化人员50人，带动基础材料、电子元器件、集成电路、基础软件、测试仪器等电子信息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vAlign w:val="center"/>
          </w:tcPr>
          <w:p>
            <w:pPr>
              <w:rPr>
                <w:rFonts w:ascii="仿宋_GB2312" w:eastAsia="仿宋_GB2312"/>
                <w:kern w:val="0"/>
                <w:sz w:val="32"/>
                <w:szCs w:val="32"/>
              </w:rPr>
            </w:pPr>
            <w:r>
              <w:rPr>
                <w:rFonts w:hint="eastAsia" w:ascii="仿宋_GB2312" w:eastAsia="仿宋_GB2312"/>
                <w:kern w:val="0"/>
                <w:sz w:val="32"/>
                <w:szCs w:val="32"/>
              </w:rPr>
              <w:t>转化方式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ind w:firstLine="640"/>
              <w:rPr>
                <w:rFonts w:ascii="仿宋" w:hAnsi="仿宋" w:eastAsia="仿宋" w:cs="Times New Roman (正文 CS 字体)"/>
                <w:bCs/>
                <w:kern w:val="0"/>
                <w:sz w:val="32"/>
              </w:rPr>
            </w:pPr>
            <w:r>
              <w:rPr>
                <w:rFonts w:hint="eastAsia" w:ascii="仿宋" w:hAnsi="仿宋" w:eastAsia="仿宋" w:cs="Times New Roman (正文 CS 字体)"/>
                <w:bCs/>
                <w:kern w:val="0"/>
                <w:sz w:val="32"/>
              </w:rPr>
              <w:t>该平台建成后，面向企业用户和个人用户，采用混合代理的方式进行运营。后续将持续进行平台二期升级开发，计划将标准数据范围由电子信息领域扩展到全域标准。</w:t>
            </w:r>
          </w:p>
        </w:tc>
      </w:tr>
    </w:tbl>
    <w:p>
      <w:pPr>
        <w:spacing w:line="580" w:lineRule="exact"/>
        <w:rPr>
          <w:rFonts w:ascii="仿宋_GB2312" w:hAnsi="仿宋" w:eastAsia="仿宋_GB2312"/>
          <w:sz w:val="32"/>
          <w:szCs w:val="32"/>
        </w:rPr>
      </w:pPr>
    </w:p>
    <w:p>
      <w:pPr>
        <w:pStyle w:val="2"/>
      </w:pPr>
      <w:r>
        <w:br w:type="page"/>
      </w:r>
    </w:p>
    <w:p>
      <w:pPr>
        <w:spacing w:line="580" w:lineRule="exact"/>
        <w:rPr>
          <w:rFonts w:ascii="仿宋_GB2312" w:hAnsi="仿宋" w:eastAsia="仿宋_GB2312"/>
          <w:sz w:val="32"/>
          <w:szCs w:val="32"/>
        </w:rPr>
      </w:pPr>
      <w:r>
        <w:rPr>
          <w:rFonts w:hint="eastAsia" w:ascii="仿宋_GB2312" w:hAnsi="仿宋" w:eastAsia="仿宋_GB2312"/>
          <w:sz w:val="32"/>
          <w:szCs w:val="32"/>
        </w:rPr>
        <w:t>附件2</w:t>
      </w:r>
    </w:p>
    <w:p>
      <w:pPr>
        <w:ind w:right="160"/>
        <w:jc w:val="center"/>
        <w:rPr>
          <w:rFonts w:ascii="小标宋" w:hAnsi="小标宋" w:eastAsia="小标宋"/>
          <w:sz w:val="44"/>
          <w:szCs w:val="44"/>
        </w:rPr>
      </w:pPr>
      <w:r>
        <w:rPr>
          <w:rFonts w:hint="eastAsia" w:ascii="微软雅黑" w:hAnsi="微软雅黑" w:eastAsia="微软雅黑" w:cs="微软雅黑"/>
          <w:sz w:val="44"/>
          <w:szCs w:val="44"/>
        </w:rPr>
        <w:t>科创中国</w:t>
      </w:r>
      <w:r>
        <w:rPr>
          <w:rFonts w:hint="eastAsia" w:ascii="Malgun Gothic Semilight" w:hAnsi="Malgun Gothic Semilight" w:eastAsia="Malgun Gothic Semilight" w:cs="Malgun Gothic Semilight"/>
          <w:sz w:val="44"/>
          <w:szCs w:val="44"/>
        </w:rPr>
        <w:t>”</w:t>
      </w:r>
      <w:r>
        <w:rPr>
          <w:rFonts w:hint="eastAsia" w:ascii="微软雅黑" w:hAnsi="微软雅黑" w:eastAsia="微软雅黑" w:cs="微软雅黑"/>
          <w:sz w:val="44"/>
          <w:szCs w:val="44"/>
        </w:rPr>
        <w:t>平台科技成果综合评价报告</w:t>
      </w:r>
    </w:p>
    <w:tbl>
      <w:tblPr>
        <w:tblStyle w:val="24"/>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709"/>
        <w:gridCol w:w="284"/>
        <w:gridCol w:w="99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127" w:type="dxa"/>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成果名称</w:t>
            </w:r>
          </w:p>
        </w:tc>
        <w:tc>
          <w:tcPr>
            <w:tcW w:w="2127" w:type="dxa"/>
            <w:gridSpan w:val="3"/>
            <w:vAlign w:val="center"/>
          </w:tcPr>
          <w:p>
            <w:pPr>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sz w:val="28"/>
                <w:szCs w:val="28"/>
              </w:rPr>
              <w:t>电子信息领域标准大数据公共服务平台建设</w:t>
            </w:r>
          </w:p>
        </w:tc>
        <w:tc>
          <w:tcPr>
            <w:tcW w:w="992" w:type="dxa"/>
            <w:vAlign w:val="center"/>
          </w:tcPr>
          <w:p>
            <w:pPr>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分类</w:t>
            </w:r>
          </w:p>
        </w:tc>
        <w:tc>
          <w:tcPr>
            <w:tcW w:w="3827" w:type="dxa"/>
            <w:vAlign w:val="center"/>
          </w:tcPr>
          <w:p>
            <w:pP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7E7E7E" w:themeColor="text1" w:themeTint="80"/>
                <w:sz w:val="28"/>
                <w:szCs w:val="28"/>
              </w:rPr>
              <w:t>《战略性新兴产业分类（2018）》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127" w:type="dxa"/>
            <w:vMerge w:val="restart"/>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所属单位</w:t>
            </w:r>
          </w:p>
        </w:tc>
        <w:tc>
          <w:tcPr>
            <w:tcW w:w="6946" w:type="dxa"/>
            <w:gridSpan w:val="5"/>
            <w:vAlign w:val="center"/>
          </w:tcPr>
          <w:p>
            <w:pPr>
              <w:rPr>
                <w:rFonts w:ascii="仿宋_GB2312" w:hAnsi="微软雅黑 Light" w:eastAsia="仿宋_GB2312" w:cs="Times New Roman (正文 CS 字体)"/>
                <w:color w:val="7E7E7E" w:themeColor="text1" w:themeTint="80"/>
                <w:sz w:val="28"/>
                <w:szCs w:val="28"/>
              </w:rPr>
            </w:pPr>
            <w:r>
              <w:rPr>
                <w:rFonts w:hint="eastAsia" w:ascii="仿宋_GB2312" w:hAnsi="微软雅黑 Light" w:eastAsia="仿宋_GB2312" w:cs="Times New Roman (正文 CS 字体)"/>
                <w:sz w:val="28"/>
                <w:szCs w:val="28"/>
              </w:rPr>
              <w:t>特斯联科技集团有限公司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127" w:type="dxa"/>
            <w:vMerge w:val="continue"/>
            <w:vAlign w:val="center"/>
          </w:tcPr>
          <w:p>
            <w:pPr>
              <w:jc w:val="center"/>
              <w:rPr>
                <w:rFonts w:ascii="仿宋_GB2312" w:hAnsi="微软雅黑 Light" w:eastAsia="仿宋_GB2312" w:cs="Times New Roman (正文 CS 字体)"/>
                <w:sz w:val="28"/>
                <w:szCs w:val="28"/>
              </w:rPr>
            </w:pPr>
          </w:p>
        </w:tc>
        <w:tc>
          <w:tcPr>
            <w:tcW w:w="1134" w:type="dxa"/>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联系人</w:t>
            </w:r>
          </w:p>
        </w:tc>
        <w:tc>
          <w:tcPr>
            <w:tcW w:w="993" w:type="dxa"/>
            <w:gridSpan w:val="2"/>
            <w:vAlign w:val="center"/>
          </w:tcPr>
          <w:p>
            <w:pPr>
              <w:jc w:val="center"/>
              <w:rPr>
                <w:rFonts w:ascii="仿宋_GB2312" w:hAnsi="微软雅黑 Light" w:eastAsia="仿宋_GB2312" w:cs="Times New Roman (正文 CS 字体)"/>
                <w:sz w:val="28"/>
                <w:szCs w:val="28"/>
              </w:rPr>
            </w:pPr>
            <w:r>
              <w:rPr>
                <w:rFonts w:ascii="宋体" w:hAnsi="宋体" w:eastAsia="宋体" w:cs="宋体"/>
                <w:sz w:val="24"/>
                <w:szCs w:val="24"/>
              </w:rPr>
              <w:br w:type="textWrapping"/>
            </w:r>
            <w:r>
              <w:rPr>
                <w:rFonts w:ascii="微软雅黑" w:hAnsi="微软雅黑" w:eastAsia="微软雅黑" w:cs="微软雅黑"/>
                <w:i w:val="0"/>
                <w:iCs w:val="0"/>
                <w:caps w:val="0"/>
                <w:color w:val="333333"/>
                <w:spacing w:val="0"/>
                <w:sz w:val="24"/>
                <w:szCs w:val="24"/>
                <w:shd w:val="clear" w:fill="FFFFFF"/>
              </w:rPr>
              <w:t>张俊文</w:t>
            </w:r>
          </w:p>
        </w:tc>
        <w:tc>
          <w:tcPr>
            <w:tcW w:w="992" w:type="dxa"/>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电话</w:t>
            </w:r>
          </w:p>
        </w:tc>
        <w:tc>
          <w:tcPr>
            <w:tcW w:w="3827" w:type="dxa"/>
            <w:vAlign w:val="center"/>
          </w:tcPr>
          <w:p>
            <w:pPr>
              <w:jc w:val="center"/>
              <w:rPr>
                <w:rFonts w:ascii="仿宋_GB2312" w:hAnsi="微软雅黑 Light" w:eastAsia="仿宋_GB2312" w:cs="Times New Roman (正文 CS 字体)"/>
                <w:sz w:val="28"/>
                <w:szCs w:val="28"/>
              </w:rPr>
            </w:pPr>
            <w:r>
              <w:rPr>
                <w:rFonts w:ascii="宋体" w:hAnsi="宋体" w:eastAsia="宋体" w:cs="宋体"/>
                <w:sz w:val="24"/>
                <w:szCs w:val="24"/>
              </w:rPr>
              <w:br w:type="textWrapping"/>
            </w:r>
            <w:r>
              <w:rPr>
                <w:rFonts w:ascii="微软雅黑" w:hAnsi="微软雅黑" w:eastAsia="微软雅黑" w:cs="微软雅黑"/>
                <w:i w:val="0"/>
                <w:iCs w:val="0"/>
                <w:caps w:val="0"/>
                <w:color w:val="333333"/>
                <w:spacing w:val="0"/>
                <w:sz w:val="24"/>
                <w:szCs w:val="24"/>
                <w:shd w:val="clear" w:fill="FFFFFF"/>
              </w:rPr>
              <w:t>15011320074</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127" w:type="dxa"/>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成果简介</w:t>
            </w:r>
          </w:p>
        </w:tc>
        <w:tc>
          <w:tcPr>
            <w:tcW w:w="6946" w:type="dxa"/>
            <w:gridSpan w:val="5"/>
            <w:vAlign w:val="center"/>
          </w:tcPr>
          <w:p>
            <w:pPr>
              <w:ind w:firstLine="560" w:firstLineChars="200"/>
              <w:jc w:val="left"/>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该项目有效解决电子信息领域标准数据资源分散、难以规整融合、缺乏智能应用工具提供数据服务等一系列问题，从而提升标准的推广性和应用性，推动 “标准数据”向“标准知识”过渡，并利用“标准知识”支撑引领产业发展道路。</w:t>
            </w:r>
          </w:p>
          <w:p>
            <w:pPr>
              <w:pStyle w:val="2"/>
              <w:ind w:firstLine="560" w:firstLineChars="200"/>
              <w:rPr>
                <w:rFonts w:hint="eastAsia" w:ascii="仿宋_GB2312" w:eastAsia="仿宋_GB2312"/>
                <w:bCs/>
              </w:rPr>
            </w:pPr>
            <w:r>
              <w:rPr>
                <w:rFonts w:hint="eastAsia" w:ascii="仿宋_GB2312" w:hAnsi="微软雅黑 Light" w:eastAsia="仿宋_GB2312" w:cs="Times New Roman (正文 CS 字体)"/>
                <w:b w:val="0"/>
                <w:color w:val="auto"/>
                <w:kern w:val="2"/>
                <w:sz w:val="28"/>
                <w:szCs w:val="28"/>
                <w:lang w:val="en-US"/>
              </w:rPr>
              <w:t>技术方面有效扩大标准检索的范围、丰富检索内容，促进电子信息领域标准的数字化转型。通过标准文本数字化的转化技术，实现标准信息资源的深层次加工，充分挖掘标准文献资源内在附加值。构建标准实施效果评价系统，实现及时、动态、精准的实施效果评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创新水平</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关键共性技术○  前沿引领技术○  现代工程技术</w:t>
            </w:r>
            <w:r>
              <w:rPr>
                <w:rFonts w:hint="eastAsia" w:ascii="华文琥珀" w:hAnsi="报隶-简" w:eastAsia="华文琥珀" w:cs="Times New Roman (正文 CS 字体)"/>
                <w:b/>
                <w:bCs/>
                <w:color w:val="000000" w:themeColor="text1"/>
                <w:sz w:val="28"/>
                <w:szCs w:val="28"/>
              </w:rPr>
              <w:t>○</w:t>
            </w:r>
            <w:r>
              <w:rPr>
                <w:rFonts w:hint="eastAsia" w:ascii="仿宋_GB2312" w:hAnsi="微软雅黑 Light" w:eastAsia="仿宋_GB2312" w:cs="Times New Roman (正文 CS 字体)"/>
                <w:color w:val="000000" w:themeColor="text1"/>
                <w:sz w:val="28"/>
                <w:szCs w:val="28"/>
              </w:rPr>
              <w:t xml:space="preserve">  </w:t>
            </w:r>
          </w:p>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颠覆性技术○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技术进度</w:t>
            </w:r>
          </w:p>
        </w:tc>
        <w:tc>
          <w:tcPr>
            <w:tcW w:w="1843" w:type="dxa"/>
            <w:gridSpan w:val="2"/>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新设备或新装置</w:t>
            </w:r>
          </w:p>
        </w:tc>
        <w:tc>
          <w:tcPr>
            <w:tcW w:w="5103" w:type="dxa"/>
            <w:gridSpan w:val="3"/>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原理样机○   工程样机○   中试原型机○   产业化</w:t>
            </w:r>
            <w:r>
              <w:rPr>
                <w:rFonts w:hint="eastAsia" w:ascii="华文琥珀" w:hAnsi="微软雅黑 Light" w:eastAsia="华文琥珀" w:cs="Times New Roman (正文 CS 字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pPr>
              <w:spacing w:line="276" w:lineRule="auto"/>
              <w:jc w:val="center"/>
              <w:rPr>
                <w:rFonts w:ascii="仿宋_GB2312" w:hAnsi="微软雅黑 Light" w:eastAsia="仿宋_GB2312" w:cs="Times New Roman (正文 CS 字体)"/>
                <w:sz w:val="28"/>
                <w:szCs w:val="28"/>
              </w:rPr>
            </w:pPr>
          </w:p>
        </w:tc>
        <w:tc>
          <w:tcPr>
            <w:tcW w:w="1843" w:type="dxa"/>
            <w:gridSpan w:val="2"/>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新材料或新技术</w:t>
            </w:r>
          </w:p>
        </w:tc>
        <w:tc>
          <w:tcPr>
            <w:tcW w:w="5103" w:type="dxa"/>
            <w:gridSpan w:val="3"/>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实验室阶段○      工程化阶段</w:t>
            </w:r>
            <w:r>
              <w:rPr>
                <w:rFonts w:hint="eastAsia" w:ascii="华文琥珀" w:hAnsi="微软雅黑 Light" w:eastAsia="华文琥珀" w:cs="Times New Roman (正文 CS 字体)"/>
                <w:sz w:val="28"/>
                <w:szCs w:val="28"/>
              </w:rPr>
              <w:t>○</w:t>
            </w:r>
            <w:r>
              <w:rPr>
                <w:rFonts w:hint="eastAsia" w:ascii="仿宋_GB2312" w:hAnsi="微软雅黑 Light" w:eastAsia="仿宋_GB2312" w:cs="Times New Roman (正文 CS 字体)"/>
                <w:sz w:val="28"/>
                <w:szCs w:val="28"/>
              </w:rPr>
              <w:t xml:space="preserve">       产业化阶段○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27" w:type="dxa"/>
            <w:vMerge w:val="restart"/>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技术成果</w:t>
            </w:r>
          </w:p>
        </w:tc>
        <w:tc>
          <w:tcPr>
            <w:tcW w:w="2127" w:type="dxa"/>
            <w:gridSpan w:val="3"/>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国际专利□    国家专利□</w:t>
            </w:r>
          </w:p>
        </w:tc>
        <w:tc>
          <w:tcPr>
            <w:tcW w:w="992"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专利编号</w:t>
            </w:r>
          </w:p>
        </w:tc>
        <w:tc>
          <w:tcPr>
            <w:tcW w:w="3827" w:type="dxa"/>
            <w:vAlign w:val="center"/>
          </w:tcPr>
          <w:p>
            <w:pPr>
              <w:spacing w:line="276" w:lineRule="auto"/>
              <w:jc w:val="center"/>
              <w:rPr>
                <w:rFonts w:ascii="仿宋_GB2312" w:hAnsi="微软雅黑 Light" w:eastAsia="仿宋_GB2312" w:cs="Times New Roman (正文 CS 字体)"/>
                <w:color w:val="000000" w:themeColor="text1"/>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27" w:type="dxa"/>
            <w:vMerge w:val="continue"/>
            <w:vAlign w:val="center"/>
          </w:tcPr>
          <w:p>
            <w:pPr>
              <w:spacing w:line="276" w:lineRule="auto"/>
              <w:jc w:val="center"/>
              <w:rPr>
                <w:rFonts w:ascii="仿宋_GB2312" w:hAnsi="微软雅黑 Light" w:eastAsia="仿宋_GB2312" w:cs="Times New Roman (正文 CS 字体)"/>
                <w:color w:val="000000" w:themeColor="text1"/>
                <w:sz w:val="28"/>
                <w:szCs w:val="28"/>
              </w:rPr>
            </w:pPr>
          </w:p>
        </w:tc>
        <w:tc>
          <w:tcPr>
            <w:tcW w:w="2127" w:type="dxa"/>
            <w:gridSpan w:val="3"/>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国际奖项□    国家奖项□</w:t>
            </w:r>
          </w:p>
        </w:tc>
        <w:tc>
          <w:tcPr>
            <w:tcW w:w="992"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奖项名称</w:t>
            </w:r>
          </w:p>
        </w:tc>
        <w:tc>
          <w:tcPr>
            <w:tcW w:w="3827" w:type="dxa"/>
            <w:vAlign w:val="center"/>
          </w:tcPr>
          <w:p>
            <w:pPr>
              <w:spacing w:line="276" w:lineRule="auto"/>
              <w:jc w:val="center"/>
              <w:rPr>
                <w:rFonts w:ascii="仿宋_GB2312" w:hAnsi="微软雅黑 Light" w:eastAsia="仿宋_GB2312" w:cs="Times New Roman (正文 CS 字体)"/>
                <w:color w:val="000000" w:themeColor="text1"/>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产品方向</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有多个应用方向</w:t>
            </w:r>
            <w:r>
              <w:rPr>
                <w:rFonts w:hint="eastAsia" w:ascii="华文琥珀" w:hAnsi="微软雅黑 Light" w:eastAsia="华文琥珀" w:cs="Times New Roman (正文 CS 字体)"/>
                <w:color w:val="000000" w:themeColor="text1"/>
                <w:sz w:val="28"/>
                <w:szCs w:val="28"/>
              </w:rPr>
              <w:t>○</w:t>
            </w:r>
            <w:r>
              <w:rPr>
                <w:rFonts w:hint="eastAsia" w:ascii="仿宋_GB2312" w:hAnsi="微软雅黑 Light" w:eastAsia="仿宋_GB2312" w:cs="Times New Roman (正文 CS 字体)"/>
                <w:color w:val="000000" w:themeColor="text1"/>
                <w:sz w:val="28"/>
                <w:szCs w:val="28"/>
              </w:rPr>
              <w:t xml:space="preserve">    有一个应用方向○    </w:t>
            </w:r>
          </w:p>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没有应用方向○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市场空间</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需求前景巨大○     需求前景较大</w:t>
            </w:r>
            <w:r>
              <w:rPr>
                <w:rFonts w:hint="eastAsia" w:ascii="华文琥珀" w:hAnsi="微软雅黑 Light" w:eastAsia="华文琥珀" w:cs="Times New Roman (正文 CS 字体)"/>
                <w:color w:val="000000" w:themeColor="text1"/>
                <w:sz w:val="28"/>
                <w:szCs w:val="28"/>
              </w:rPr>
              <w:t>○</w:t>
            </w:r>
            <w:r>
              <w:rPr>
                <w:rFonts w:hint="eastAsia" w:ascii="仿宋_GB2312" w:hAnsi="微软雅黑 Light" w:eastAsia="仿宋_GB2312" w:cs="Times New Roman (正文 CS 字体)"/>
                <w:color w:val="000000" w:themeColor="text1"/>
                <w:sz w:val="28"/>
                <w:szCs w:val="28"/>
              </w:rPr>
              <w:t xml:space="preserve">     </w:t>
            </w:r>
          </w:p>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需求前景一般○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成本竞争</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优势明显</w:t>
            </w:r>
            <w:r>
              <w:rPr>
                <w:rFonts w:hint="eastAsia" w:ascii="华文琥珀" w:hAnsi="微软雅黑 Light" w:eastAsia="华文琥珀" w:cs="Times New Roman (正文 CS 字体)"/>
                <w:color w:val="000000" w:themeColor="text1"/>
                <w:sz w:val="28"/>
                <w:szCs w:val="28"/>
              </w:rPr>
              <w:t>○</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优势一般○</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没有优势○</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政策影响</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政策鼓励</w:t>
            </w:r>
            <w:r>
              <w:rPr>
                <w:rFonts w:hint="eastAsia" w:ascii="华文琥珀" w:hAnsi="微软雅黑 Light" w:eastAsia="华文琥珀" w:cs="Times New Roman (正文 CS 字体)"/>
                <w:color w:val="000000" w:themeColor="text1"/>
                <w:sz w:val="28"/>
                <w:szCs w:val="28"/>
              </w:rPr>
              <w:t>○</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政策限制○</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政策淘汰○</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市场周期</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进入期</w:t>
            </w:r>
            <w:r>
              <w:rPr>
                <w:rFonts w:hint="eastAsia" w:ascii="华文琥珀" w:hAnsi="微软雅黑 Light" w:eastAsia="华文琥珀" w:cs="Times New Roman (正文 CS 字体)"/>
                <w:color w:val="000000" w:themeColor="text1"/>
                <w:sz w:val="28"/>
                <w:szCs w:val="28"/>
              </w:rPr>
              <w:t>○</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成长期○</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饱和期○</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衰退期○</w:t>
            </w:r>
            <w:r>
              <w:rPr>
                <w:rFonts w:ascii="仿宋_GB2312" w:hAnsi="微软雅黑 Light" w:eastAsia="仿宋_GB2312" w:cs="Times New Roman (正文 CS 字体)"/>
                <w:color w:val="000000" w:themeColor="text1"/>
                <w:sz w:val="28"/>
                <w:szCs w:val="28"/>
              </w:rPr>
              <w:t xml:space="preserve">  </w:t>
            </w:r>
            <w:r>
              <w:rPr>
                <w:rFonts w:hint="eastAsia" w:ascii="仿宋_GB2312" w:hAnsi="微软雅黑 Light" w:eastAsia="仿宋_GB2312" w:cs="Times New Roman (正文 CS 字体)"/>
                <w:color w:val="000000" w:themeColor="text1"/>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转化周期</w:t>
            </w:r>
          </w:p>
        </w:tc>
        <w:tc>
          <w:tcPr>
            <w:tcW w:w="6946" w:type="dxa"/>
            <w:gridSpan w:val="5"/>
            <w:vAlign w:val="center"/>
          </w:tcPr>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近期可控(1年内)</w:t>
            </w:r>
            <w:r>
              <w:rPr>
                <w:rFonts w:hint="eastAsia" w:ascii="华文琥珀" w:hAnsi="微软雅黑 Light" w:eastAsia="华文琥珀" w:cs="Times New Roman (正文 CS 字体)"/>
                <w:color w:val="000000" w:themeColor="text1"/>
                <w:sz w:val="28"/>
                <w:szCs w:val="28"/>
              </w:rPr>
              <w:t>○</w:t>
            </w:r>
            <w:r>
              <w:rPr>
                <w:rFonts w:hint="eastAsia" w:ascii="仿宋_GB2312" w:hAnsi="微软雅黑 Light" w:eastAsia="仿宋_GB2312" w:cs="Times New Roman (正文 CS 字体)"/>
                <w:color w:val="000000" w:themeColor="text1"/>
                <w:sz w:val="28"/>
                <w:szCs w:val="28"/>
              </w:rPr>
              <w:t xml:space="preserve">  周期较长(2年内)○  </w:t>
            </w:r>
          </w:p>
          <w:p>
            <w:pPr>
              <w:spacing w:line="276" w:lineRule="auto"/>
              <w:jc w:val="center"/>
              <w:rPr>
                <w:rFonts w:ascii="仿宋_GB2312" w:hAnsi="微软雅黑 Light" w:eastAsia="仿宋_GB2312" w:cs="Times New Roman (正文 CS 字体)"/>
                <w:color w:val="000000" w:themeColor="text1"/>
                <w:sz w:val="28"/>
                <w:szCs w:val="28"/>
              </w:rPr>
            </w:pPr>
            <w:r>
              <w:rPr>
                <w:rFonts w:hint="eastAsia" w:ascii="仿宋_GB2312" w:hAnsi="微软雅黑 Light" w:eastAsia="仿宋_GB2312" w:cs="Times New Roman (正文 CS 字体)"/>
                <w:color w:val="000000" w:themeColor="text1"/>
                <w:sz w:val="28"/>
                <w:szCs w:val="28"/>
              </w:rPr>
              <w:t>很难转化(3年起)○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6"/>
            <w:vAlign w:val="center"/>
          </w:tcPr>
          <w:p>
            <w:pPr>
              <w:jc w:val="center"/>
              <w:rPr>
                <w:rFonts w:ascii="仿宋_GB2312" w:hAnsi="微软雅黑 Light" w:eastAsia="仿宋_GB2312" w:cs="Times New Roman (正文 CS 字体)"/>
                <w:b/>
                <w:bCs/>
                <w:szCs w:val="32"/>
              </w:rPr>
            </w:pPr>
            <w:r>
              <w:rPr>
                <w:rFonts w:hint="eastAsia" w:ascii="仿宋_GB2312" w:hAnsi="微软雅黑 Light" w:eastAsia="仿宋_GB2312" w:cs="Times New Roman (正文 CS 字体)"/>
                <w:b/>
                <w:bCs/>
                <w:szCs w:val="32"/>
              </w:rPr>
              <w:t>科技成果的创新基因评价（不少于150字）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trPr>
        <w:tc>
          <w:tcPr>
            <w:tcW w:w="9073" w:type="dxa"/>
            <w:gridSpan w:val="6"/>
          </w:tcPr>
          <w:p>
            <w:pPr>
              <w:pStyle w:val="2"/>
              <w:ind w:firstLine="560" w:firstLineChars="200"/>
              <w:outlineLvl w:val="2"/>
              <w:rPr>
                <w:rFonts w:ascii="仿宋_GB2312" w:eastAsia="仿宋_GB2312"/>
                <w:b w:val="0"/>
                <w:sz w:val="28"/>
                <w:szCs w:val="28"/>
              </w:rPr>
            </w:pPr>
            <w:r>
              <w:rPr>
                <w:rFonts w:hint="eastAsia" w:ascii="仿宋_GB2312" w:eastAsia="仿宋_GB2312"/>
                <w:b w:val="0"/>
                <w:sz w:val="28"/>
                <w:szCs w:val="28"/>
              </w:rPr>
              <w:t>该项目是工业和信息化部要求，由中国电子技术标准化研究院牵头，联合特斯联科技集团有限公司、北京明略软件系统有限公司、北京智谱华章科技有限公司、上海合合信息科技股份有限公司、中国汽车工程研究院股份有限公司、龙腾半导体股份有限公司、华南理工大学、北京大学、北京工业大学、之江实验室、山东新一代标准化研究院有限公司作为联合体单位参与。研发团队高级人员占比50%以上，经验丰富，分工明确。</w:t>
            </w:r>
          </w:p>
          <w:p>
            <w:pPr>
              <w:ind w:firstLine="560" w:firstLineChars="200"/>
              <w:rPr>
                <w:rFonts w:hint="eastAsia" w:ascii="仿宋_GB2312" w:eastAsia="仿宋_GB2312"/>
                <w:kern w:val="0"/>
                <w:sz w:val="28"/>
                <w:szCs w:val="28"/>
              </w:rPr>
            </w:pPr>
            <w:r>
              <w:rPr>
                <w:rFonts w:hint="eastAsia" w:ascii="仿宋_GB2312" w:eastAsia="仿宋_GB2312"/>
                <w:kern w:val="0"/>
                <w:sz w:val="28"/>
                <w:szCs w:val="28"/>
              </w:rPr>
              <w:t>项目投入国拨资金3</w:t>
            </w:r>
            <w:r>
              <w:rPr>
                <w:rFonts w:ascii="仿宋_GB2312" w:eastAsia="仿宋_GB2312"/>
                <w:kern w:val="0"/>
                <w:sz w:val="28"/>
                <w:szCs w:val="28"/>
              </w:rPr>
              <w:t>000</w:t>
            </w:r>
            <w:r>
              <w:rPr>
                <w:rFonts w:hint="eastAsia" w:ascii="仿宋_GB2312" w:eastAsia="仿宋_GB2312"/>
                <w:kern w:val="0"/>
                <w:sz w:val="28"/>
                <w:szCs w:val="28"/>
              </w:rPr>
              <w:t>万，企事业单位自筹资金7</w:t>
            </w:r>
            <w:r>
              <w:rPr>
                <w:rFonts w:ascii="仿宋_GB2312" w:eastAsia="仿宋_GB2312"/>
                <w:kern w:val="0"/>
                <w:sz w:val="28"/>
                <w:szCs w:val="28"/>
              </w:rPr>
              <w:t>000</w:t>
            </w:r>
            <w:r>
              <w:rPr>
                <w:rFonts w:hint="eastAsia" w:ascii="仿宋_GB2312" w:eastAsia="仿宋_GB2312"/>
                <w:kern w:val="0"/>
                <w:sz w:val="28"/>
                <w:szCs w:val="28"/>
              </w:rPr>
              <w:t>万。国家投入小，企业和社会参与热情高，建设周期适中，有望实现规模推广。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6"/>
            <w:vAlign w:val="center"/>
          </w:tcPr>
          <w:p>
            <w:pPr>
              <w:jc w:val="center"/>
              <w:rPr>
                <w:rFonts w:ascii="仿宋_GB2312" w:hAnsi="微软雅黑 Light" w:eastAsia="仿宋_GB2312" w:cs="Times New Roman (正文 CS 字体)"/>
                <w:b/>
                <w:bCs/>
                <w:szCs w:val="32"/>
              </w:rPr>
            </w:pPr>
            <w:r>
              <w:rPr>
                <w:rFonts w:hint="eastAsia" w:ascii="仿宋_GB2312" w:hAnsi="微软雅黑 Light" w:eastAsia="仿宋_GB2312" w:cs="Times New Roman (正文 CS 字体)"/>
                <w:b/>
                <w:bCs/>
                <w:szCs w:val="32"/>
              </w:rPr>
              <w:t>科技成果的技术亮点评价（不少于150字）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9073" w:type="dxa"/>
            <w:gridSpan w:val="6"/>
          </w:tcPr>
          <w:p>
            <w:pPr>
              <w:pStyle w:val="2"/>
              <w:ind w:firstLine="560" w:firstLineChars="200"/>
              <w:outlineLvl w:val="2"/>
              <w:rPr>
                <w:rFonts w:ascii="仿宋_GB2312" w:hAnsi="微软雅黑 Light" w:eastAsia="仿宋_GB2312" w:cs="Times New Roman (正文 CS 字体)"/>
                <w:b w:val="0"/>
                <w:color w:val="auto"/>
                <w:kern w:val="2"/>
                <w:sz w:val="28"/>
                <w:szCs w:val="28"/>
                <w:lang w:val="en-US"/>
              </w:rPr>
            </w:pPr>
            <w:r>
              <w:rPr>
                <w:rFonts w:hint="eastAsia" w:ascii="仿宋_GB2312" w:hAnsi="微软雅黑 Light" w:eastAsia="仿宋_GB2312" w:cs="Times New Roman (正文 CS 字体)"/>
                <w:b w:val="0"/>
                <w:color w:val="auto"/>
                <w:kern w:val="2"/>
                <w:sz w:val="28"/>
                <w:szCs w:val="28"/>
                <w:lang w:val="en-US"/>
              </w:rPr>
              <w:t>该项目有效扩大标准检索的范围、丰富检索内容，促进电子信息领域标准的数字化转型。通过标准文本数字化的转化技术，实现标准信息资源的深层次加工，充分挖掘标准文献资源内在附加值。构建标准实施效果评价系统，实现及时、动态、精准的实施效果评价分析。</w:t>
            </w:r>
          </w:p>
          <w:p>
            <w:pPr>
              <w:ind w:firstLine="560" w:firstLineChars="200"/>
              <w:rPr>
                <w:rFonts w:hint="eastAsia"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该技术优势是借助新的检索手段，可以实现检索智能化，可以实现对标准信息内容的直接抽取。实现了传统的信息检索向高精度检索、文本挖掘、知识发现等方向转变；通过具体指标的查询，快速精确的对标准进行定位，可以对标准中强制性条款、关键性指标进行分析与研究；具有标准实施效果分析与评价功能，打通了标准实施效果啊的动态反馈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6"/>
            <w:vAlign w:val="center"/>
          </w:tcPr>
          <w:p>
            <w:pPr>
              <w:jc w:val="center"/>
              <w:rPr>
                <w:rFonts w:ascii="仿宋_GB2312" w:hAnsi="微软雅黑 Light" w:eastAsia="仿宋_GB2312" w:cs="Times New Roman (正文 CS 字体)"/>
                <w:b/>
                <w:bCs/>
                <w:szCs w:val="32"/>
              </w:rPr>
            </w:pPr>
            <w:r>
              <w:rPr>
                <w:rFonts w:hint="eastAsia" w:ascii="仿宋_GB2312" w:hAnsi="微软雅黑 Light" w:eastAsia="仿宋_GB2312" w:cs="Times New Roman (正文 CS 字体)"/>
                <w:b/>
                <w:bCs/>
                <w:szCs w:val="32"/>
              </w:rPr>
              <w:t>科技成果的应用市场评价（不少于150字）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9073" w:type="dxa"/>
            <w:gridSpan w:val="6"/>
          </w:tcPr>
          <w:p>
            <w:pPr>
              <w:ind w:firstLine="560" w:firstLineChars="200"/>
              <w:jc w:val="left"/>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该成果的技术覆盖面广，可应用于标准主管部门、标准研制单位、标准应用用户、标准服务单位等机构。找准我国电子信息领域现行标准的优势、弱项和短板，为找准产业基础再造基准提供保障，为标准升级行动提供基础设施支持；支撑用户开展产业关键技术对标、技术短板分析、标准质量提升等一系列工作；支撑电子信息领域重点行业产业链标准数据、标准知识的直接调用，实现行业级服务应用；让标准知识变得更系统、体系更完善，进而提升专业服务机构的咨询质量、培训效率。</w:t>
            </w:r>
          </w:p>
          <w:p>
            <w:pPr>
              <w:ind w:firstLine="480"/>
              <w:rPr>
                <w:rFonts w:hint="eastAsia" w:ascii="仿宋_GB2312" w:eastAsia="仿宋_GB2312"/>
                <w:bCs/>
                <w:kern w:val="0"/>
                <w:szCs w:val="32"/>
              </w:rPr>
            </w:pPr>
            <w:r>
              <w:rPr>
                <w:rFonts w:hint="eastAsia" w:ascii="仿宋_GB2312" w:hAnsi="微软雅黑 Light" w:eastAsia="仿宋_GB2312" w:cs="Times New Roman (正文 CS 字体)"/>
                <w:sz w:val="28"/>
                <w:szCs w:val="28"/>
              </w:rPr>
              <w:t>应用前景广阔。建议向参研单位所在省/市/区推广，可重点关注有指定行业标准能力等各行业头部企业。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73" w:type="dxa"/>
            <w:gridSpan w:val="6"/>
            <w:vAlign w:val="center"/>
          </w:tcPr>
          <w:p>
            <w:pPr>
              <w:ind w:firstLine="105" w:firstLineChars="50"/>
              <w:jc w:val="center"/>
              <w:rPr>
                <w:rFonts w:ascii="仿宋_GB2312" w:hAnsi="微软雅黑 Light" w:eastAsia="仿宋_GB2312" w:cs="Times New Roman (正文 CS 字体)"/>
                <w:b/>
                <w:bCs/>
                <w:szCs w:val="32"/>
              </w:rPr>
            </w:pPr>
            <w:r>
              <w:rPr>
                <w:rFonts w:hint="eastAsia" w:ascii="仿宋_GB2312" w:hAnsi="微软雅黑 Light" w:eastAsia="仿宋_GB2312" w:cs="Times New Roman (正文 CS 字体)"/>
                <w:b/>
                <w:bCs/>
                <w:szCs w:val="32"/>
              </w:rPr>
              <w:t>评价专家组综合意见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trPr>
        <w:tc>
          <w:tcPr>
            <w:tcW w:w="9073" w:type="dxa"/>
            <w:gridSpan w:val="6"/>
            <w:vAlign w:val="center"/>
          </w:tcPr>
          <w:p>
            <w:pPr>
              <w:tabs>
                <w:tab w:val="left" w:pos="6556"/>
              </w:tabs>
              <w:ind w:firstLine="560" w:firstLineChars="200"/>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该成果由电子信息领域标准大数据平台及综合门户组成，提供标准大数据可视化、智能检索、智能问答、精准推送、实施意见反馈、实施效果评价、数据共享交换、产业链用标情况分析与决策支撑等主要功能，其中包含2</w:t>
            </w:r>
            <w:r>
              <w:rPr>
                <w:rFonts w:ascii="仿宋_GB2312" w:hAnsi="微软雅黑 Light" w:eastAsia="仿宋_GB2312" w:cs="Times New Roman (正文 CS 字体)"/>
                <w:sz w:val="28"/>
                <w:szCs w:val="28"/>
              </w:rPr>
              <w:t>000</w:t>
            </w:r>
            <w:r>
              <w:rPr>
                <w:rFonts w:hint="eastAsia" w:ascii="仿宋_GB2312" w:hAnsi="微软雅黑 Light" w:eastAsia="仿宋_GB2312" w:cs="Times New Roman (正文 CS 字体)"/>
                <w:sz w:val="28"/>
                <w:szCs w:val="28"/>
              </w:rPr>
              <w:t>个标准参考数据集、5</w:t>
            </w:r>
            <w:r>
              <w:rPr>
                <w:rFonts w:ascii="仿宋_GB2312" w:hAnsi="微软雅黑 Light" w:eastAsia="仿宋_GB2312" w:cs="Times New Roman (正文 CS 字体)"/>
                <w:sz w:val="28"/>
                <w:szCs w:val="28"/>
              </w:rPr>
              <w:t>000</w:t>
            </w:r>
            <w:r>
              <w:rPr>
                <w:rFonts w:hint="eastAsia" w:ascii="仿宋_GB2312" w:hAnsi="微软雅黑 Light" w:eastAsia="仿宋_GB2312" w:cs="Times New Roman (正文 CS 字体)"/>
                <w:sz w:val="28"/>
                <w:szCs w:val="28"/>
              </w:rPr>
              <w:t>项标准题录数据、技术链图谱数据库、产业链基本数据库、用标分析工具，形成研究报告、学术论文、专利、软著，并向3</w:t>
            </w:r>
            <w:r>
              <w:rPr>
                <w:rFonts w:ascii="仿宋_GB2312" w:hAnsi="微软雅黑 Light" w:eastAsia="仿宋_GB2312" w:cs="Times New Roman (正文 CS 字体)"/>
                <w:sz w:val="28"/>
                <w:szCs w:val="28"/>
              </w:rPr>
              <w:t>00</w:t>
            </w:r>
            <w:r>
              <w:rPr>
                <w:rFonts w:hint="eastAsia" w:ascii="仿宋_GB2312" w:hAnsi="微软雅黑 Light" w:eastAsia="仿宋_GB2312" w:cs="Times New Roman (正文 CS 字体)"/>
                <w:sz w:val="28"/>
                <w:szCs w:val="28"/>
              </w:rPr>
              <w:t>家以上企业提供服务标准行业有一定的引领性作用，有一定的技术创新性，且技术成熟，投资回报比较可靠，目标市场处于成长市场，但该市场很快会出现多种技术路线，产品竞争会很激烈。</w:t>
            </w:r>
          </w:p>
          <w:p>
            <w:pPr>
              <w:tabs>
                <w:tab w:val="left" w:pos="6556"/>
              </w:tabs>
              <w:ind w:firstLine="560" w:firstLineChars="200"/>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总体而言，该项目技术思路方向很好，未来市场空间大，有利于当前政策要求，转化成熟度很高，值得支持推广。建议强化相应产品开发，加大推广力度。</w:t>
            </w:r>
          </w:p>
          <w:p>
            <w:pPr>
              <w:ind w:firstLine="560" w:firstLineChars="200"/>
              <w:jc w:val="left"/>
              <w:rPr>
                <w:rFonts w:ascii="仿宋_GB2312" w:hAnsi="仿宋_GB2312" w:eastAsia="仿宋_GB2312" w:cs="Times New Roman (正文 CS 字体)"/>
                <w:sz w:val="28"/>
                <w:szCs w:val="28"/>
              </w:rPr>
            </w:pPr>
          </w:p>
          <w:p>
            <w:pPr>
              <w:ind w:firstLine="560" w:firstLineChars="200"/>
              <w:jc w:val="left"/>
              <w:rPr>
                <w:rFonts w:hint="eastAsia" w:ascii="仿宋_GB2312" w:hAnsi="仿宋_GB2312" w:eastAsia="仿宋_GB2312" w:cs="Times New Roman (正文 CS 字体)"/>
                <w:sz w:val="28"/>
                <w:szCs w:val="28"/>
                <w:lang w:val="en-US" w:eastAsia="zh-CN"/>
              </w:rPr>
            </w:pPr>
            <w:r>
              <w:rPr>
                <w:rFonts w:hint="eastAsia" w:ascii="仿宋_GB2312" w:hAnsi="仿宋_GB2312" w:eastAsia="仿宋_GB2312" w:cs="Times New Roman (正文 CS 字体)"/>
                <w:sz w:val="28"/>
                <w:szCs w:val="28"/>
              </w:rPr>
              <w:t>咨询专家签字：</w:t>
            </w:r>
            <w:r>
              <w:rPr>
                <w:rFonts w:hint="eastAsia" w:ascii="仿宋_GB2312" w:hAnsi="仿宋_GB2312" w:eastAsia="仿宋_GB2312" w:cs="Times New Roman (正文 CS 字体)"/>
                <w:sz w:val="28"/>
                <w:szCs w:val="28"/>
                <w:lang w:val="en-US" w:eastAsia="zh-CN"/>
              </w:rPr>
              <w:t>张俊文</w:t>
            </w:r>
          </w:p>
          <w:p>
            <w:pPr>
              <w:tabs>
                <w:tab w:val="left" w:pos="6556"/>
              </w:tabs>
              <w:jc w:val="right"/>
              <w:rPr>
                <w:rFonts w:ascii="仿宋_GB2312" w:hAnsi="仿宋_GB2312" w:eastAsia="仿宋_GB2312" w:cs="Times New Roman (正文 CS 字体)"/>
                <w:color w:val="7E7E7E" w:themeColor="text1" w:themeTint="80"/>
                <w:sz w:val="28"/>
                <w:szCs w:val="28"/>
              </w:rPr>
            </w:pPr>
            <w:r>
              <w:rPr>
                <w:rFonts w:hint="eastAsia" w:ascii="仿宋_GB2312" w:hAnsi="仿宋_GB2312" w:eastAsia="仿宋_GB2312" w:cs="Times New Roman (正文 CS 字体)"/>
                <w:sz w:val="28"/>
                <w:szCs w:val="28"/>
              </w:rPr>
              <w:t>年    月   日</w:t>
            </w:r>
          </w:p>
        </w:tc>
      </w:tr>
    </w:tbl>
    <w:p>
      <w:pPr>
        <w:pStyle w:val="2"/>
      </w:pPr>
    </w:p>
    <w:sectPr>
      <w:headerReference r:id="rId3" w:type="default"/>
      <w:footerReference r:id="rId4" w:type="default"/>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20B0604020202020204"/>
    <w:charset w:val="86"/>
    <w:family w:val="roman"/>
    <w:pitch w:val="default"/>
    <w:sig w:usb0="00000000" w:usb1="00000000" w:usb2="00000000" w:usb3="00000000" w:csb0="00000000" w:csb1="00000000"/>
  </w:font>
  <w:font w:name="小标宋">
    <w:altName w:val="Malgun Gothic Semilight"/>
    <w:panose1 w:val="020B0604020202020204"/>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报隶-简">
    <w:altName w:val="隶书"/>
    <w:panose1 w:val="02010600040101010101"/>
    <w:charset w:val="86"/>
    <w:family w:val="auto"/>
    <w:pitch w:val="default"/>
    <w:sig w:usb0="00000000" w:usb1="0000000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spacing w:before="120" w:after="120"/>
      <w:ind w:firstLine="480"/>
      <w:rPr>
        <w:rStyle w:val="16"/>
      </w:rPr>
    </w:pPr>
    <w:r>
      <w:fldChar w:fldCharType="begin"/>
    </w:r>
    <w:r>
      <w:rPr>
        <w:rStyle w:val="16"/>
      </w:rPr>
      <w:instrText xml:space="preserve">PAGE  </w:instrText>
    </w:r>
    <w:r>
      <w:fldChar w:fldCharType="separate"/>
    </w:r>
    <w:r>
      <w:rPr>
        <w:rStyle w:val="16"/>
      </w:rPr>
      <w:t>5</w:t>
    </w:r>
    <w:r>
      <w:fldChar w:fldCharType="end"/>
    </w:r>
  </w:p>
  <w:p>
    <w:pPr>
      <w:pStyle w:val="8"/>
      <w:spacing w:before="120" w:after="120"/>
      <w:ind w:right="360" w:firstLine="480"/>
      <w:jc w:val="center"/>
    </w:pPr>
  </w:p>
  <w:p>
    <w:pPr>
      <w:pStyle w:val="8"/>
      <w:spacing w:before="120" w:after="120"/>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IyZjM1ODIzNTg3YjhjZGI5YmUyMWU1MmZjM2MyMGIifQ=="/>
  </w:docVars>
  <w:rsids>
    <w:rsidRoot w:val="00B04659"/>
    <w:rsid w:val="000226F0"/>
    <w:rsid w:val="00066E1D"/>
    <w:rsid w:val="00086B40"/>
    <w:rsid w:val="000B099A"/>
    <w:rsid w:val="000B4ACB"/>
    <w:rsid w:val="000C437D"/>
    <w:rsid w:val="000F5F67"/>
    <w:rsid w:val="001261BE"/>
    <w:rsid w:val="001423EC"/>
    <w:rsid w:val="00177A62"/>
    <w:rsid w:val="001C167E"/>
    <w:rsid w:val="001E7C24"/>
    <w:rsid w:val="001F2360"/>
    <w:rsid w:val="00200D93"/>
    <w:rsid w:val="00225BD9"/>
    <w:rsid w:val="002373E5"/>
    <w:rsid w:val="00256D73"/>
    <w:rsid w:val="002B40DF"/>
    <w:rsid w:val="002B44FF"/>
    <w:rsid w:val="002C284A"/>
    <w:rsid w:val="002C2B3C"/>
    <w:rsid w:val="002C7D23"/>
    <w:rsid w:val="002E18CF"/>
    <w:rsid w:val="002E23ED"/>
    <w:rsid w:val="002F3F4A"/>
    <w:rsid w:val="00310778"/>
    <w:rsid w:val="0034254B"/>
    <w:rsid w:val="003669EB"/>
    <w:rsid w:val="003C0301"/>
    <w:rsid w:val="003E3C27"/>
    <w:rsid w:val="00406EBB"/>
    <w:rsid w:val="004300AB"/>
    <w:rsid w:val="00451626"/>
    <w:rsid w:val="00452645"/>
    <w:rsid w:val="00480602"/>
    <w:rsid w:val="00482D6D"/>
    <w:rsid w:val="004B13C1"/>
    <w:rsid w:val="004D7E16"/>
    <w:rsid w:val="00512363"/>
    <w:rsid w:val="00521CEA"/>
    <w:rsid w:val="00536458"/>
    <w:rsid w:val="00557ED4"/>
    <w:rsid w:val="005751CA"/>
    <w:rsid w:val="005755F5"/>
    <w:rsid w:val="00603A52"/>
    <w:rsid w:val="00625466"/>
    <w:rsid w:val="00647C40"/>
    <w:rsid w:val="00661EA4"/>
    <w:rsid w:val="0066203E"/>
    <w:rsid w:val="006A141A"/>
    <w:rsid w:val="007C0A32"/>
    <w:rsid w:val="008505A3"/>
    <w:rsid w:val="008E07DB"/>
    <w:rsid w:val="008F4F71"/>
    <w:rsid w:val="00910C11"/>
    <w:rsid w:val="009551F5"/>
    <w:rsid w:val="009616C9"/>
    <w:rsid w:val="009A7BDC"/>
    <w:rsid w:val="00A053A0"/>
    <w:rsid w:val="00A7435F"/>
    <w:rsid w:val="00AB43C1"/>
    <w:rsid w:val="00AE23AD"/>
    <w:rsid w:val="00B04659"/>
    <w:rsid w:val="00B13A58"/>
    <w:rsid w:val="00B87CD1"/>
    <w:rsid w:val="00BD308A"/>
    <w:rsid w:val="00BD6392"/>
    <w:rsid w:val="00BD6490"/>
    <w:rsid w:val="00BE3DCE"/>
    <w:rsid w:val="00C20638"/>
    <w:rsid w:val="00C52964"/>
    <w:rsid w:val="00C577B6"/>
    <w:rsid w:val="00C94012"/>
    <w:rsid w:val="00CB0366"/>
    <w:rsid w:val="00D636AD"/>
    <w:rsid w:val="00D97DF5"/>
    <w:rsid w:val="00DC156F"/>
    <w:rsid w:val="00DD1065"/>
    <w:rsid w:val="00E03AA8"/>
    <w:rsid w:val="00E21118"/>
    <w:rsid w:val="00E23B62"/>
    <w:rsid w:val="00E43048"/>
    <w:rsid w:val="00EF7E60"/>
    <w:rsid w:val="00F674DE"/>
    <w:rsid w:val="00F91BA1"/>
    <w:rsid w:val="00FA7C20"/>
    <w:rsid w:val="00FD0573"/>
    <w:rsid w:val="01B6109F"/>
    <w:rsid w:val="025F1619"/>
    <w:rsid w:val="026D2693"/>
    <w:rsid w:val="035D6FC8"/>
    <w:rsid w:val="04295BCF"/>
    <w:rsid w:val="07F25545"/>
    <w:rsid w:val="08F6195C"/>
    <w:rsid w:val="090A4858"/>
    <w:rsid w:val="0A346831"/>
    <w:rsid w:val="0A6E1FC9"/>
    <w:rsid w:val="0B21104E"/>
    <w:rsid w:val="0D6A664C"/>
    <w:rsid w:val="0D9F6A86"/>
    <w:rsid w:val="0E7C1E29"/>
    <w:rsid w:val="0F966212"/>
    <w:rsid w:val="0FE8573F"/>
    <w:rsid w:val="125A0195"/>
    <w:rsid w:val="1483672B"/>
    <w:rsid w:val="15666019"/>
    <w:rsid w:val="15BF6F5F"/>
    <w:rsid w:val="15D83C9F"/>
    <w:rsid w:val="16293ED1"/>
    <w:rsid w:val="162A48B6"/>
    <w:rsid w:val="16BD3DF8"/>
    <w:rsid w:val="17AA180F"/>
    <w:rsid w:val="17D9011E"/>
    <w:rsid w:val="18BE72C3"/>
    <w:rsid w:val="19B74E77"/>
    <w:rsid w:val="1A2F725D"/>
    <w:rsid w:val="1B51065D"/>
    <w:rsid w:val="1B6325A2"/>
    <w:rsid w:val="1D891C30"/>
    <w:rsid w:val="1E5365B7"/>
    <w:rsid w:val="1F031B55"/>
    <w:rsid w:val="20A00315"/>
    <w:rsid w:val="20A70EBA"/>
    <w:rsid w:val="20D03FEA"/>
    <w:rsid w:val="20ED0D40"/>
    <w:rsid w:val="236D35F0"/>
    <w:rsid w:val="242157C3"/>
    <w:rsid w:val="24F216C5"/>
    <w:rsid w:val="25CB79CF"/>
    <w:rsid w:val="265642FA"/>
    <w:rsid w:val="275424D4"/>
    <w:rsid w:val="27B53B5A"/>
    <w:rsid w:val="2B11267D"/>
    <w:rsid w:val="2B501701"/>
    <w:rsid w:val="2C155BA7"/>
    <w:rsid w:val="2C7148C9"/>
    <w:rsid w:val="2DAA4A7C"/>
    <w:rsid w:val="2E2E2BC5"/>
    <w:rsid w:val="2F516D85"/>
    <w:rsid w:val="305A5CA7"/>
    <w:rsid w:val="307A626E"/>
    <w:rsid w:val="31F818AD"/>
    <w:rsid w:val="33136C1F"/>
    <w:rsid w:val="39DA6D89"/>
    <w:rsid w:val="3B2A73FE"/>
    <w:rsid w:val="3B2E22F3"/>
    <w:rsid w:val="3BB81BAD"/>
    <w:rsid w:val="3C017F5D"/>
    <w:rsid w:val="3C034830"/>
    <w:rsid w:val="3C9D6DD2"/>
    <w:rsid w:val="3D0268FC"/>
    <w:rsid w:val="3E444967"/>
    <w:rsid w:val="40933B8D"/>
    <w:rsid w:val="41A3044F"/>
    <w:rsid w:val="4408645C"/>
    <w:rsid w:val="44FC4FEC"/>
    <w:rsid w:val="458538F1"/>
    <w:rsid w:val="45854398"/>
    <w:rsid w:val="462F46D4"/>
    <w:rsid w:val="46C21E77"/>
    <w:rsid w:val="46C87CD9"/>
    <w:rsid w:val="47A66C0E"/>
    <w:rsid w:val="480417E9"/>
    <w:rsid w:val="48844949"/>
    <w:rsid w:val="489B32A9"/>
    <w:rsid w:val="4A9916A5"/>
    <w:rsid w:val="4D4F7731"/>
    <w:rsid w:val="4D996487"/>
    <w:rsid w:val="4DE070E4"/>
    <w:rsid w:val="4E5B324A"/>
    <w:rsid w:val="4ED14027"/>
    <w:rsid w:val="4FAF6D38"/>
    <w:rsid w:val="50016A4E"/>
    <w:rsid w:val="5060304C"/>
    <w:rsid w:val="50737F5F"/>
    <w:rsid w:val="511D1902"/>
    <w:rsid w:val="51EE01F1"/>
    <w:rsid w:val="52253EE5"/>
    <w:rsid w:val="5237738F"/>
    <w:rsid w:val="527158F8"/>
    <w:rsid w:val="52E87628"/>
    <w:rsid w:val="53562BB9"/>
    <w:rsid w:val="54106FF8"/>
    <w:rsid w:val="5603200F"/>
    <w:rsid w:val="588C0904"/>
    <w:rsid w:val="589545F9"/>
    <w:rsid w:val="59277DA1"/>
    <w:rsid w:val="598159B8"/>
    <w:rsid w:val="59FE7EB9"/>
    <w:rsid w:val="5BE26641"/>
    <w:rsid w:val="5CBA021C"/>
    <w:rsid w:val="5CC12119"/>
    <w:rsid w:val="5D754CCB"/>
    <w:rsid w:val="5E6513EA"/>
    <w:rsid w:val="602B09AC"/>
    <w:rsid w:val="6037607B"/>
    <w:rsid w:val="60433DF0"/>
    <w:rsid w:val="6099525B"/>
    <w:rsid w:val="6235582E"/>
    <w:rsid w:val="65FE2639"/>
    <w:rsid w:val="66C65A58"/>
    <w:rsid w:val="67AF57DE"/>
    <w:rsid w:val="68607268"/>
    <w:rsid w:val="68A67DB0"/>
    <w:rsid w:val="692C3DCB"/>
    <w:rsid w:val="6A6B6440"/>
    <w:rsid w:val="6C8C6659"/>
    <w:rsid w:val="6CCD002B"/>
    <w:rsid w:val="6D7F6A5B"/>
    <w:rsid w:val="6DFD124B"/>
    <w:rsid w:val="6EBD65AA"/>
    <w:rsid w:val="6F2A66B0"/>
    <w:rsid w:val="6FCD4BA1"/>
    <w:rsid w:val="6FDD283D"/>
    <w:rsid w:val="70056E21"/>
    <w:rsid w:val="7134113F"/>
    <w:rsid w:val="71EA7DF7"/>
    <w:rsid w:val="72D47D1D"/>
    <w:rsid w:val="72E160A0"/>
    <w:rsid w:val="738639E2"/>
    <w:rsid w:val="745072E9"/>
    <w:rsid w:val="74A10440"/>
    <w:rsid w:val="74C77723"/>
    <w:rsid w:val="75894AA2"/>
    <w:rsid w:val="76FD0DA1"/>
    <w:rsid w:val="79BD0946"/>
    <w:rsid w:val="7AC92CE9"/>
    <w:rsid w:val="7B05063E"/>
    <w:rsid w:val="7C0870F0"/>
    <w:rsid w:val="7C3B5D8A"/>
    <w:rsid w:val="7C563F52"/>
    <w:rsid w:val="7EE7363C"/>
    <w:rsid w:val="7F507582"/>
    <w:rsid w:val="7FB7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5" w:lineRule="auto"/>
      <w:outlineLvl w:val="2"/>
    </w:pPr>
    <w:rPr>
      <w:rFonts w:ascii="Times New Roman" w:hAnsi="Times New Roman" w:eastAsia="宋体" w:cs="Times New Roman"/>
      <w:b/>
      <w:color w:val="000000"/>
      <w:kern w:val="0"/>
      <w:sz w:val="32"/>
      <w:szCs w:val="32"/>
      <w:lang w:val="zh-CN"/>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toa heading"/>
    <w:basedOn w:val="1"/>
    <w:next w:val="1"/>
    <w:qFormat/>
    <w:uiPriority w:val="0"/>
    <w:pPr>
      <w:spacing w:line="360" w:lineRule="atLeast"/>
      <w:jc w:val="center"/>
    </w:pPr>
    <w:rPr>
      <w:rFonts w:ascii="Arial" w:hAnsi="Arial" w:eastAsia="黑体" w:cs="Arial"/>
      <w:color w:val="000000"/>
      <w:kern w:val="0"/>
      <w:sz w:val="36"/>
      <w:szCs w:val="20"/>
    </w:rPr>
  </w:style>
  <w:style w:type="paragraph" w:styleId="4">
    <w:name w:val="annotation text"/>
    <w:basedOn w:val="1"/>
    <w:qFormat/>
    <w:uiPriority w:val="0"/>
    <w:pPr>
      <w:jc w:val="left"/>
    </w:pPr>
  </w:style>
  <w:style w:type="paragraph" w:styleId="5">
    <w:name w:val="Body Text Indent"/>
    <w:basedOn w:val="1"/>
    <w:qFormat/>
    <w:uiPriority w:val="0"/>
    <w:pPr>
      <w:widowControl/>
      <w:overflowPunct w:val="0"/>
      <w:autoSpaceDE w:val="0"/>
      <w:autoSpaceDN w:val="0"/>
      <w:adjustRightInd w:val="0"/>
      <w:ind w:firstLine="555"/>
      <w:textAlignment w:val="baseline"/>
    </w:pPr>
    <w:rPr>
      <w:rFonts w:ascii="仿宋_GB2312" w:hAnsi="Times New Roman" w:eastAsia="宋体" w:cs="Times New Roman"/>
      <w:kern w:val="0"/>
      <w:szCs w:val="20"/>
    </w:rPr>
  </w:style>
  <w:style w:type="paragraph" w:styleId="6">
    <w:name w:val="Plain Text"/>
    <w:basedOn w:val="1"/>
    <w:qFormat/>
    <w:uiPriority w:val="0"/>
    <w:pPr>
      <w:spacing w:line="360" w:lineRule="auto"/>
    </w:pPr>
    <w:rPr>
      <w:rFonts w:ascii="宋体" w:hAnsi="宋体" w:eastAsia="宋体" w:cs="宋体"/>
      <w:color w:val="000000"/>
      <w:kern w:val="1"/>
      <w:szCs w:val="20"/>
    </w:rPr>
  </w:style>
  <w:style w:type="paragraph" w:styleId="7">
    <w:name w:val="Balloon Text"/>
    <w:basedOn w:val="1"/>
    <w:link w:val="2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5"/>
    <w:next w:val="1"/>
    <w:unhideWhenUsed/>
    <w:qFormat/>
    <w:uiPriority w:val="99"/>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basedOn w:val="14"/>
    <w:unhideWhenUsed/>
    <w:qFormat/>
    <w:uiPriority w:val="99"/>
    <w:rPr>
      <w:color w:val="0000FF"/>
      <w:u w:val="single"/>
    </w:rPr>
  </w:style>
  <w:style w:type="character" w:styleId="19">
    <w:name w:val="annotation reference"/>
    <w:qFormat/>
    <w:uiPriority w:val="0"/>
    <w:rPr>
      <w:sz w:val="21"/>
      <w:szCs w:val="21"/>
    </w:rPr>
  </w:style>
  <w:style w:type="paragraph" w:customStyle="1" w:styleId="20">
    <w:name w:val="列出段落1"/>
    <w:basedOn w:val="1"/>
    <w:qFormat/>
    <w:uiPriority w:val="0"/>
    <w:pPr>
      <w:ind w:firstLine="420"/>
    </w:pPr>
    <w:rPr>
      <w:rFonts w:ascii="Calibri" w:hAnsi="Calibri" w:eastAsia="宋体" w:cs="Times New Roman"/>
      <w:color w:val="000000"/>
      <w:kern w:val="0"/>
      <w:sz w:val="24"/>
      <w:lang w:val="zh-CN"/>
    </w:rPr>
  </w:style>
  <w:style w:type="paragraph" w:styleId="21">
    <w:name w:val="List Paragraph"/>
    <w:basedOn w:val="1"/>
    <w:qFormat/>
    <w:uiPriority w:val="99"/>
    <w:pPr>
      <w:ind w:firstLine="420" w:firstLineChars="200"/>
    </w:p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未处理的提及1"/>
    <w:basedOn w:val="14"/>
    <w:semiHidden/>
    <w:unhideWhenUsed/>
    <w:qFormat/>
    <w:uiPriority w:val="99"/>
    <w:rPr>
      <w:color w:val="605E5C"/>
      <w:shd w:val="clear" w:color="auto" w:fill="E1DFDD"/>
    </w:rPr>
  </w:style>
  <w:style w:type="table" w:customStyle="1" w:styleId="24">
    <w:name w:val="网格型1"/>
    <w:basedOn w:val="12"/>
    <w:qFormat/>
    <w:uiPriority w:val="39"/>
    <w:rPr>
      <w:rFonts w:eastAsia="仿宋" w:cs="Times New Roman (正文 CS 字体)"/>
      <w:sz w:val="3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批注框文本 字符"/>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3788</Words>
  <Characters>3838</Characters>
  <Lines>28</Lines>
  <Paragraphs>8</Paragraphs>
  <TotalTime>386</TotalTime>
  <ScaleCrop>false</ScaleCrop>
  <LinksUpToDate>false</LinksUpToDate>
  <CharactersWithSpaces>3937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2022-10-11T03:01:00Z</dcterms:created>
  <dc:creator>lenovo</dc:creator>
  <cp:lastModifiedBy>咸贤盐妍</cp:lastModifiedBy>
  <dcterms:modified xsi:type="dcterms:W3CDTF">2022-11-07T07:38:30Z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4609F4BB6A0843F7A8F9D7298AD472A0</vt:lpwstr>
  </property>
</Properties>
</file>