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9.0.0 -->
  <w:body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243840</wp:posOffset>
            </wp:positionV>
            <wp:extent cx="7559040" cy="1313815"/>
            <wp:effectExtent l="0" t="0" r="3810" b="635"/>
            <wp:wrapNone/>
            <wp:docPr id="1" name="图片 22" descr="C:\Users\Qimeng\Desktop\3333.png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C:\Users\Qimeng\Desktop\3333.png33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 w:rsidRPr="000F1B27" w:rsidP="000F1B27">
      <w:pPr>
        <w:tabs>
          <w:tab w:val="left" w:pos="2400"/>
        </w:tabs>
        <w:jc w:val="center"/>
        <w:rPr>
          <w:color w:val="000000"/>
          <w:sz w:val="48"/>
          <w:szCs w:val="48"/>
        </w:rPr>
      </w:pPr>
      <w:bookmarkStart w:id="0" w:name="_GoBack"/>
      <w:r w:rsidRPr="000F1B27">
        <w:rPr>
          <w:noProof/>
          <w:color w:val="000000"/>
          <w:sz w:val="48"/>
          <w:szCs w:val="48"/>
        </w:rPr>
        <w:t>一种升华法制备氮化铝晶体的生长装置</w:t>
      </w:r>
    </w:p>
    <w:p w:rsidR="000F1B27">
      <w:pPr>
        <w:tabs>
          <w:tab w:val="left" w:pos="2400"/>
        </w:tabs>
        <w:rPr>
          <w:rFonts w:ascii="宋体" w:hAnsi="宋体" w:cs="宋体" w:hint="eastAsia"/>
          <w:color w:val="000000"/>
          <w:sz w:val="22"/>
          <w:szCs w:val="22"/>
        </w:rPr>
      </w:pPr>
      <w:bookmarkEnd w:id="0"/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2876FB">
      <w:pPr>
        <w:tabs>
          <w:tab w:val="left" w:pos="2400"/>
        </w:tabs>
        <w:rPr>
          <w:rFonts w:hint="eastAsia"/>
        </w:rPr>
      </w:pPr>
    </w:p>
    <w:tbl>
      <w:tblPr>
        <w:tblStyle w:val="TableGrid"/>
        <w:tblW w:w="9354" w:type="dxa"/>
        <w:tblLayout w:type="fixed"/>
        <w:tblLook w:val="04A0"/>
      </w:tblPr>
      <w:tblGrid>
        <w:gridCol w:w="2476"/>
        <w:gridCol w:w="6878"/>
      </w:tblGrid>
      <w:tr>
        <w:tblPrEx>
          <w:tblW w:w="9354" w:type="dxa"/>
          <w:tblLayout w:type="fixed"/>
          <w:tblLook w:val="04A0"/>
        </w:tblPrEx>
        <w:trPr>
          <w:trHeight w:val="53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CN201320364361.5</w:t>
            </w:r>
            <w:r>
              <w:t xml:space="preserve"> 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20130610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申请（专利权）人：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[深圳大学]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地址：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广东省深圳市南山区南油路2336号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发明人：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</w:pPr>
            <w:r>
              <w:t>[武红磊, 郑瑞生, 徐百胜, 闫征, 郑伟, 李萌萌]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主分类号：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C30B23/06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CN203295659U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20131120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代理机构：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</w:p>
        </w:tc>
      </w:tr>
      <w:tr>
        <w:tblPrEx>
          <w:tblW w:w="9354" w:type="dxa"/>
          <w:tblLayout w:type="fixed"/>
          <w:tblLook w:val="04A0"/>
        </w:tblPrEx>
        <w:trPr>
          <w:trHeight w:val="49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</w:p>
        </w:tc>
      </w:tr>
    </w:tbl>
    <w:p w:rsidR="002876FB">
      <w:pPr>
        <w:tabs>
          <w:tab w:val="left" w:pos="2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1431290</wp:posOffset>
                </wp:positionV>
                <wp:extent cx="1914525" cy="342900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:rsidR="002876FB">
                            <w:pPr>
                              <w:rPr>
                                <w:rFonts w:ascii="微软雅黑" w:eastAsia="微软雅黑" w:hAnsi="微软雅黑" w:cs="微软雅黑"/>
                                <w:color w:val="BFBF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</w:rPr>
                              <w:t>www.patexplorer.com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5" type="#_x0000_t202" style="height:27pt;margin-left:365.25pt;margin-top:112.7pt;mso-wrap-distance-bottom:0;mso-wrap-distance-left:9pt;mso-wrap-distance-right:9pt;mso-wrap-distance-top:0;mso-wrap-style:square;position:absolute;v-text-anchor:top;visibility:visible;width:150.75pt;z-index:251659264" filled="f" stroked="f" strokeweight="1.25pt">
                <v:textbox>
                  <w:txbxContent>
                    <w:p w:rsidR="002876FB">
                      <w:pPr>
                        <w:rPr>
                          <w:rFonts w:ascii="微软雅黑" w:eastAsia="微软雅黑" w:hAnsi="微软雅黑" w:cs="微软雅黑"/>
                          <w:color w:val="BFBF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</w:rPr>
                        <w:t>www.patexplorer.com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852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/>
      </w:tblPr>
      <w:tblGrid>
        <w:gridCol w:w="2376"/>
        <w:gridCol w:w="3305"/>
        <w:gridCol w:w="2841"/>
      </w:tblGrid>
      <w:tr>
        <w:tblPrEx>
          <w:tblW w:w="8522" w:type="dxa"/>
          <w:tblBorders>
            <w:top w:val="single" w:sz="12" w:space="0" w:color="000000"/>
            <w:bottom w:val="single" w:sz="12" w:space="0" w:color="000000"/>
          </w:tblBorders>
          <w:tblLayout w:type="fixed"/>
          <w:tblLook w:val="04A0"/>
        </w:tblPrEx>
        <w:tc>
          <w:tcPr>
            <w:tcW w:w="852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i/>
                <w:iCs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（19）中</w:t>
            </w:r>
            <w:r>
              <w:rPr>
                <w:rFonts w:ascii="宋体" w:hAnsi="宋体" w:cs="宋体" w:hint="eastAsia"/>
                <w:b/>
                <w:iCs/>
                <w:color w:val="000000"/>
                <w:sz w:val="30"/>
              </w:rPr>
              <w:t>华</w:t>
            </w: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人民共和国国家知识产权局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noProof/>
                <w:color w:val="000000"/>
                <w:sz w:val="30"/>
              </w:rPr>
              <w:drawing>
                <wp:inline distT="0" distB="0" distL="114300" distR="114300">
                  <wp:extent cx="914400" cy="7620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nil"/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2841" w:type="dxa"/>
            <w:tcBorders>
              <w:top w:val="nil"/>
            </w:tcBorders>
            <w:shd w:val="clear" w:color="auto" w:fill="auto"/>
          </w:tcPr>
          <w:p w:rsidR="002876FB">
            <w:pPr>
              <w:jc w:val="center"/>
              <w:rPr>
                <w:rFonts w:ascii="宋体" w:hAnsi="宋体" w:cs="宋体"/>
                <w:color w:val="000000"/>
                <w:sz w:val="30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6146" w:type="dxa"/>
            <w:gridSpan w:val="2"/>
            <w:tcBorders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30"/>
              </w:rPr>
              <w:t>（12）实用新型专利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8522" w:type="dxa"/>
            <w:gridSpan w:val="3"/>
            <w:tcBorders>
              <w:right w:val="nil"/>
            </w:tcBorders>
            <w:shd w:val="clear" w:color="auto" w:fill="auto"/>
          </w:tcPr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（10）授权公告号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CN203295659U</w:t>
            </w:r>
          </w:p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（45）授权公告日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20131120</w:t>
            </w:r>
          </w:p>
        </w:tc>
      </w:tr>
    </w:tbl>
    <w:p w:rsidR="002876FB">
      <w:pPr>
        <w:rPr>
          <w:rFonts w:ascii="宋体" w:hAnsi="宋体" w:cs="宋体"/>
          <w:color w:val="000000"/>
          <w:sz w:val="10"/>
          <w:szCs w:val="10"/>
        </w:rPr>
      </w:pP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>
        <w:tblPrEx>
          <w:tblW w:w="8522" w:type="dxa"/>
          <w:tblLayout w:type="fixed"/>
          <w:tblLook w:val="04A0"/>
        </w:tblPrEx>
        <w:trPr>
          <w:trHeight w:val="4540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（21）申请号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CN201320364361.5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（22）申请日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20130610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（73）专利权人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[深圳大学]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地址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广东省深圳市南山区南油路2336号</w:t>
            </w: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（72）发明人 </w:t>
            </w:r>
            <w:r>
              <w:rPr>
                <w:rFonts w:ascii="宋体" w:hAnsi="宋体" w:cs="宋体"/>
                <w:color w:val="000000"/>
                <w:sz w:val="22"/>
              </w:rPr>
              <w:t>[武红磊, 郑瑞生, 徐百胜, 闫征, 郑伟, 李萌萌]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（74）专利代理机构 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 代理人 </w:t>
            </w:r>
          </w:p>
        </w:tc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rPr>
          <w:trHeight w:val="938"/>
        </w:trPr>
        <w:tc>
          <w:tcPr>
            <w:tcW w:w="4261" w:type="dxa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（54）实用新型名称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一种升华法制备氮化铝晶体的生长装置</w:t>
            </w:r>
          </w:p>
        </w:tc>
        <w:tc>
          <w:tcPr>
            <w:tcW w:w="42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255pt;width:187.5pt">
                  <v:imagedata r:id="rId8" o:title=""/>
                </v:shape>
              </w:pict>
            </w:r>
          </w:p>
        </w:tc>
      </w:tr>
      <w:tr>
        <w:tblPrEx>
          <w:tblW w:w="8522" w:type="dxa"/>
          <w:tblLayout w:type="fixed"/>
          <w:tblLook w:val="04A0"/>
        </w:tblPrEx>
        <w:trPr>
          <w:trHeight w:val="5384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（57）摘要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本实用新型属于晶体制备领域，提供了一种升华法制备氮化铝晶体的生长装置，实现大尺寸、高质量氮化铝单晶体的生长工艺条件。本实用新型包括：(a)一种升华法制备氮化铝晶体的生长装置，由主加热器、顶加热器、侧屏蔽层、顶屏蔽层和底屏蔽层组成，其中，所有屏蔽层均为全金属热反射屏，每个屏蔽层相互独立，且内部尺寸均按阶梯状分布；(b)装置采用两套独立加热器，通过调整两者的功率可以方便、精确地控制生长区域的温度，满足氮化铝晶体生长所需的温度场条件；(c)加热器和屏蔽层采用独特的结构设计，满足：(i)加工工艺简单，制造成本较低，(ii)使用寿命长，维护成本低，(iii)满足生产的同时，不易引入杂质，不会污染环境。</w:t>
            </w:r>
          </w:p>
        </w:tc>
        <w:tc>
          <w:tcPr>
            <w:tcW w:w="4261" w:type="dxa"/>
            <w:vMerge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2876FB">
      <w:pPr>
        <w:rPr>
          <w:rFonts w:ascii="宋体" w:hAnsi="宋体" w:cs="宋体"/>
          <w:b/>
          <w:color w:val="000000"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权 利 要 求 书</w:t>
            </w:r>
          </w:p>
        </w:tc>
      </w:tr>
    </w:tbl>
    <w:p w:rsidR="002876FB">
      <w:pPr>
        <w:ind w:firstLine="480" w:firstLineChars="200"/>
        <w:rPr>
          <w:rFonts w:ascii="宋体" w:hAnsi="宋体" w:cs="宋体"/>
          <w:b/>
          <w:color w:val="000000"/>
          <w:sz w:val="32"/>
        </w:rPr>
      </w:pPr>
      <w:r>
        <w:rPr>
          <w:rFonts w:ascii="宋体" w:hAnsi="宋体" w:cs="宋体"/>
          <w:color w:val="000000"/>
          <w:sz w:val="22"/>
          <w:szCs w:val="22"/>
        </w:rPr>
        <w:t>1.一种升华法制备氮化铝晶体的生长装置，由主加热器(4)、顶加热器(3)、侧屏蔽层(5)、顶屏蔽层(2)和底屏蔽层(6)组成，其中，所有屏蔽层均为全金属热反射屏，每个屏蔽层相互独立，且内部尺寸均按阶梯状分布。 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2.根据权利要求1所述的生长装置，其特征在于，顶加热器(3)是由圆形钨板切割加工而成近“W”形的圆盘，两端分别与2个引出电极(1)焊固。 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3.根据权利要求1所述的生长装置，其特征在于主加热器(4)是由矩形钨板切割加工成“矩形波”形状后再在高温下整体合围成的闭合圆筒。 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4.根据权利要求1或3所述的生长装置，其特征在于主加热器(4)由圆筒同一侧的三等分处分别与3个引出电极(1)连接焊固。 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5.根据权利要求1所述的生长装置，其特征在于，侧屏蔽屏(5)由内向外依次为3-9层的钨圆筒以及3-6层的钼圆筒，圆筒之间经由钨杆穿孔定位后焊固而成，筒高度呈阶梯状分布，相邻筒间的距离为3-15毫米。 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6.根据权利要求1所述的生长装置，其特征在于，顶屏蔽层(2)由内部为6-15层钨圆板及外部为3-6层钼圆板经由钨杆穿孔定位后焊固而成，钨、钼圆板的直径呈阶梯状增大，相邻两圆板间的距离为3-15毫米。 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7.根据权利要求1所述的生长装置，其特征在于，底屏蔽层(6)由上向下依次为钨盘、钨支架、6-15层钨圆板和3-6层钼圆板，各组件之间经由钨杆定位后焊固，其中，钨、钼圆板的直径呈阶梯状增大，相邻两圆板间的距离为3-15毫米。 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8.根据权利要求1所述的生长装置，其特征在于所有的焊固均为氩弧焊固。 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b/>
          <w:color w:val="000000"/>
          <w:sz w:val="3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说 明 书</w:t>
            </w:r>
          </w:p>
        </w:tc>
      </w:tr>
    </w:tbl>
    <w:p w:rsidR="002876FB">
      <w:pPr>
        <w:ind w:firstLine="480" w:firstLineChars="200"/>
        <w:jc w:val="center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6"/>
          <w:szCs w:val="22"/>
        </w:rPr>
        <w:t>一种升华法制备氮化铝晶体的生长装置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6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技术领域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本实用新型属于晶体制备领域，特别涉及一种升华法制备氮化铝晶体的生长装置。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背景技术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氮化铝晶体是第三代半导体材料(氮化铝、氮化镓、碳化硅、氧化锌、金刚石等)的典 型代表之一，又是这些材料中的直接带隙、禁带宽度最宽(6.2电子伏特)的一个；它同时具 备了极为优良的光、电、声、机械性质，已经表现出极其广阔的应用前景和难以估量的巨大 经济效益。升华法(或物理气相传输法)是目前制备氮化铝晶体最常用的方法，其基本过程 是氮化铝物料高温下分解升华，然后在低温区再结晶形成氮化铝单晶体。该方法制备氮化铝 晶体过程中，由于生长温度超过2000℃，且生长区域的温度分布对晶体的生长速率、形态及 结晶质量都有较大的影响，因此，要求生长装置在生长区域既能满足能够高温条件，又能较 为精确地控制温度场。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近十年来，随着碳化硅、蓝宝石等高温晶体材料制备技术的发展，中频感应加热炉有加 热快、能耗小等优点，成为生长这些材料的主要设备。然而，氮化铝晶体生长对温度场条件 十分敏感。温度场条件是否合适直接决定了氮化铝晶体生长质量的优劣。而中频感应加热炉 主要是通过坩埚的上下移动来改变与线圈的相对位置，来调整生长区的温度场分布，难以精 确地控制温度场分布，尤其是气化区和结晶区的温度差。因此，为了达到合适生长条件所需 探索的工艺较多、周期较长。综上，研发适宜于升华法制备氮化铝晶体的生长装置十分重要。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发明内容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本实用新型针对现有技术的不足，提供一种升华法制备氮化铝晶体的生长装置，满足大 尺寸、高质量氮化铝单晶体的生长工艺条件。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实现上述目的的技术方案是一种升华法制备氮化铝晶体的生长装置，由主加热器(4)、 顶加热器(3)、侧屏蔽层(5)、顶屏蔽层(2)和底屏蔽层(6)组成，其中，所有屏蔽层均 为全金属热反射屏，每个屏蔽层相互独立，且内部尺寸均按阶梯状分布。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上述技术方案中，顶加热器(3)是由圆形钨板切割加工而成近“W”形的圆盘，其两端 分别与2个引出电极(1)焊固。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上述技术方案中，主加热器(4)是由矩形钨板切割加工成“矩形波”形状后再在高温下整 体合围成的闭合圆筒。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上述技术方案中，主加热器(4)由圆筒同一侧的三等分处分别与3个引出电极(1)连 接焊固。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上述技术方案中，侧屏蔽屏(5)由内向外依次为3-9层的钨圆筒以及3-6层的钼圆筒， 圆筒之间经由钨杆穿孔定位后焊固而成，筒高度呈阶梯状分布，相邻筒间的距离为3-15毫米。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上述技术方案中，顶屏蔽层(2)由内部为6-15层钨圆板及外部为3-6层钼圆板经由钨 杆穿孔定位后焊固而成，钨、钼圆板的直径呈阶梯状增大，相邻两圆板间的距离为3-15毫米。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上述技术方案中，底屏蔽层(6)由上向下依次为钨盘、钨支架、6-15层钨圆板和3-6层 钼圆板，各组件之间经由钨杆定位后焊固，其中，钨、钼圆板的直径呈阶梯状增大，相邻两 圆板间的距离为3-15毫米。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上述技术方案中，所有的焊固均为氩弧焊固。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该实用新型有以下优点和特点：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(1)该实用新型用于升华法制备氮化铝晶体，包括两套加热器，通过调整两者的加热功率 可以精确地控制生长区域的温度，操作方便，满足氮化铝晶体生长所需的温度场条件；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(2)无论是加热器还是屏蔽层，两者均是通过金属钨的板材切割加工而成，工艺较为简单， 可轻松加工，制造成本较低；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(3)屏蔽屏可以有效减少热量通过辐射和对流方式的损失，同时，合理的结构设计降低了 屏蔽层因形变带来不良的影响；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(4)3个屏蔽层彼此相互独立，一旦有损坏，仅需维修更换损坏的屏蔽层，装置的维护成 本较低；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(5)钨板材制作的加热器，不易断裂，且高温脆化现象不明显，经久耐用；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(6)整个装置既有较好的耐高温性，又不易引入杂质，同时不会污染环境，对人体无害。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附图说明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图1是本实用新型实施例的示意图；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图2是本实用新型实施例中主加热器的示意图。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具体实施方式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本实用新型提供了一种升华法制备氮化铝晶体的生长装置。下面举一个用本实用新型制 作的生长装置的实施例，对本实用新型做进一步说明。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实施例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该实施例中一种升华法制备氮化铝晶体的生长装置，如图1所示，由主加热器(4)、顶 加热器(3)、侧屏蔽层(5)、顶屏蔽层(2)和底屏蔽层(6)组成，其中，所有屏蔽层均为 全金属热反射屏，每个屏蔽层相互独立，且内部均按阶梯状分布。主加热器(4)如图2所示， 是由矩形的金属钨板加工而成。加工过程包括：首先将2毫米厚钨板进行激光切割成“矩形 波”形状，其中，上下各个单元的尺寸相同；然后将切割后的钨板在高温下整体合围成圆筒 状，同时保证每个单元之间相互隔离，这样的结构能使该加热器的有效辐射面积增大，并且 可以保障炉膛内温度较为均匀。3个引出电极(1)间隔均匀的连接在加热器上，其中每个连 接处开3个定位孔(7)，孔径2毫米，然后，将钨杆穿过孔进行定位，并通过氩弧焊进行焊 接固定，引出电极(1)穿过顶屏蔽层，穿过部位带绝缘瓷件。顶加热器(3)由厚度为2毫 米的圆形钨板经激光切割成近“W”形状，两端引出2个引出电极(1)经过氩弧焊接固定。顶 加热器(3)和主加热器(4)的引出电极(1)均穿过顶屏蔽层，穿过部位带绝缘瓷件。侧屏 蔽层(5)由6层钨圆筒和6层钼圆筒组成，其中，圆筒分别由厚度为0.5毫米的钨板和钼板 在高温下整体合围而成，圆筒之间距离5毫米，高度呈阶梯状分布，圆筒之间经由钨杆穿孔 定位后焊固。顶屏蔽层(2)由9层厚度为1毫米的钨圆板和3层厚度为1毫米的钼圆板组成， 圆板经由钨杆穿孔定位后焊固而成，钨、钼圆板直径呈阶梯状增大，相邻两圆板间的距离为 5毫米。底屏蔽层(6)由上向下依次为厚度为5毫米的钨盘、3个钨支架、9层厚度为1毫 米的钨圆板和3层厚度为1毫米的钼圆板，它们之间均由钨杆定位后焊固，其中，钨、钼圆 板直径呈阶梯状增大，相邻两圆板间的距离为3-15毫米。组装后的生长装置，顶屏蔽层、底 屏蔽层与侧屏蔽层之间实现较为紧密的结合，可有效的减少热辐射和对流损耗。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整个生长装置以工业上380伏的三相交流电作为电源，经过电源的转化电路单元后，将 其转化成低电压、大电流的三相电和二相电，并分别与主加热器和顶加热器的引出电极相连， 加热器可形成电阻发热，并根据生长工艺的需要调整这两个加热器的加热功率进而满足氮化 铝晶体生长所需的温度场条件。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说 明 书 附 图</w:t>
            </w:r>
          </w:p>
        </w:tc>
      </w:tr>
    </w:tbl>
    <w:p w:rsidR="002876FB"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7" type="#_x0000_t75" style="height:522.75pt;width:375pt">
            <v:imagedata r:id="rId9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图1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8" type="#_x0000_t75" style="height:582pt;width:375pt">
            <v:imagedata r:id="rId10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图2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</w:p>
    <w:sectPr>
      <w:footerReference w:type="default" r:id="rId11"/>
      <w:pgSz w:w="11906" w:h="16838"/>
      <w:pgMar w:top="1440" w:right="1800" w:bottom="1440" w:left="1800" w:header="709" w:footer="709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6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876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F1B2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height:2in;margin-left:0;margin-top:0;mso-position-horizontal:center;mso-position-horizontal-relative:margin;mso-wrap-distance-bottom:0;mso-wrap-distance-left:9pt;mso-wrap-distance-right:9pt;mso-wrap-distance-top:0;mso-wrap-style:none;position:absolute;v-text-anchor:top;visibility:visible;width:2in;z-index:251659264" filled="f" stroked="f">
              <v:textbox style="mso-fit-shape-to-text:t" inset="0,0,0,0">
                <w:txbxContent>
                  <w:p w:rsidR="002876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F1B2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 w:qFormat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sz w:val="18"/>
      <w:szCs w:val="18"/>
    </w:rPr>
  </w:style>
  <w:style w:type="paragraph" w:styleId="Footer">
    <w:name w:val="footer"/>
    <w:basedOn w:val="Normal"/>
    <w:link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a">
    <w:name w:val="批注框文本 字符"/>
    <w:link w:val="BalloonText"/>
    <w:rPr>
      <w:sz w:val="18"/>
      <w:szCs w:val="18"/>
    </w:rPr>
  </w:style>
  <w:style w:type="character" w:customStyle="1" w:styleId="a0">
    <w:name w:val="页眉 字符"/>
    <w:link w:val="Header"/>
    <w:uiPriority w:val="99"/>
    <w:qFormat/>
    <w:rPr>
      <w:sz w:val="18"/>
      <w:szCs w:val="18"/>
    </w:rPr>
  </w:style>
  <w:style w:type="character" w:customStyle="1" w:styleId="a1">
    <w:name w:val="页脚 字符"/>
    <w:link w:val="Footer"/>
    <w:qFormat/>
    <w:rPr>
      <w:sz w:val="18"/>
      <w:szCs w:val="18"/>
    </w:rPr>
  </w:style>
  <w:style w:type="paragraph" w:customStyle="1" w:styleId="1">
    <w:name w:val="无间隔1"/>
    <w:link w:val="a2"/>
    <w:uiPriority w:val="1"/>
    <w:qFormat/>
    <w:rPr>
      <w:rFonts w:ascii="Calibri" w:hAnsi="Calibri"/>
      <w:sz w:val="22"/>
      <w:szCs w:val="22"/>
    </w:rPr>
  </w:style>
  <w:style w:type="character" w:customStyle="1" w:styleId="a2">
    <w:name w:val="无间隔 字符"/>
    <w:link w:val="1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1564F-4946-47A1-9AAA-7EDF50A0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（19）中国人民共和国国家知识产权局</dc:title>
  <dc:creator>王彬彬</dc:creator>
  <cp:keywords>PubNum</cp:keywords>
  <cp:lastModifiedBy>dz-pc</cp:lastModifiedBy>
  <cp:revision>60</cp:revision>
  <dcterms:created xsi:type="dcterms:W3CDTF">2014-06-10T08:23:00Z</dcterms:created>
  <dcterms:modified xsi:type="dcterms:W3CDTF">2017-04-19T07:52:00Z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