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4.9.0.0 -->
  <w:body>
    <w:p w:rsidR="000F1B27">
      <w:pPr>
        <w:tabs>
          <w:tab w:val="left" w:pos="2400"/>
        </w:tabs>
        <w:rPr>
          <w:rFonts w:ascii="宋体" w:hAnsi="宋体" w:cs="宋体"/>
          <w:color w:val="000000"/>
          <w:sz w:val="22"/>
          <w:szCs w:val="22"/>
        </w:rPr>
      </w:pPr>
    </w:p>
    <w:p w:rsidR="000F1B27">
      <w:pPr>
        <w:tabs>
          <w:tab w:val="left" w:pos="2400"/>
        </w:tabs>
        <w:rPr>
          <w:rFonts w:ascii="宋体" w:hAnsi="宋体" w:cs="宋体"/>
          <w:color w:val="000000"/>
          <w:sz w:val="22"/>
          <w:szCs w:val="22"/>
        </w:rPr>
      </w:pPr>
      <w:r>
        <w:rPr>
          <w:noProof/>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243840</wp:posOffset>
            </wp:positionV>
            <wp:extent cx="7559040" cy="1313815"/>
            <wp:effectExtent l="0" t="0" r="3810" b="635"/>
            <wp:wrapNone/>
            <wp:docPr id="1" name="图片 22" descr="C:\Users\Qimeng\Desktop\3333.png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C:\Users\Qimeng\Desktop\3333.png3333"/>
                    <pic:cNvPicPr>
                      <a:picLocks noChangeAspect="1"/>
                    </pic:cNvPicPr>
                  </pic:nvPicPr>
                  <pic:blipFill>
                    <a:blip xmlns:r="http://schemas.openxmlformats.org/officeDocument/2006/relationships" r:embed="rId6"/>
                    <a:stretch>
                      <a:fillRect/>
                    </a:stretch>
                  </pic:blipFill>
                  <pic:spPr>
                    <a:xfrm>
                      <a:off x="0" y="0"/>
                      <a:ext cx="7559040" cy="1313815"/>
                    </a:xfrm>
                    <a:prstGeom prst="rect">
                      <a:avLst/>
                    </a:prstGeom>
                    <a:noFill/>
                    <a:ln w="9525">
                      <a:noFill/>
                    </a:ln>
                  </pic:spPr>
                </pic:pic>
              </a:graphicData>
            </a:graphic>
          </wp:anchor>
        </w:drawing>
      </w:r>
    </w:p>
    <w:p w:rsidR="000F1B27">
      <w:pPr>
        <w:tabs>
          <w:tab w:val="left" w:pos="2400"/>
        </w:tabs>
        <w:rPr>
          <w:rFonts w:ascii="宋体" w:hAnsi="宋体" w:cs="宋体"/>
          <w:color w:val="000000"/>
          <w:sz w:val="22"/>
          <w:szCs w:val="22"/>
        </w:rPr>
      </w:pPr>
    </w:p>
    <w:p w:rsidR="000F1B27">
      <w:pPr>
        <w:tabs>
          <w:tab w:val="left" w:pos="2400"/>
        </w:tabs>
        <w:rPr>
          <w:rFonts w:ascii="宋体" w:hAnsi="宋体" w:cs="宋体"/>
          <w:color w:val="000000"/>
          <w:sz w:val="22"/>
          <w:szCs w:val="22"/>
        </w:rPr>
      </w:pPr>
    </w:p>
    <w:p w:rsidR="000F1B27">
      <w:pPr>
        <w:tabs>
          <w:tab w:val="left" w:pos="2400"/>
        </w:tabs>
        <w:rPr>
          <w:rFonts w:ascii="宋体" w:hAnsi="宋体" w:cs="宋体"/>
          <w:color w:val="000000"/>
          <w:sz w:val="22"/>
          <w:szCs w:val="22"/>
        </w:rPr>
      </w:pPr>
    </w:p>
    <w:p w:rsidR="000F1B27">
      <w:pPr>
        <w:tabs>
          <w:tab w:val="left" w:pos="2400"/>
        </w:tabs>
        <w:rPr>
          <w:rFonts w:ascii="宋体" w:hAnsi="宋体" w:cs="宋体"/>
          <w:color w:val="000000"/>
          <w:sz w:val="22"/>
          <w:szCs w:val="22"/>
        </w:rPr>
      </w:pPr>
    </w:p>
    <w:p w:rsidR="000F1B27">
      <w:pPr>
        <w:tabs>
          <w:tab w:val="left" w:pos="2400"/>
        </w:tabs>
        <w:rPr>
          <w:rFonts w:ascii="宋体" w:hAnsi="宋体" w:cs="宋体"/>
          <w:color w:val="000000"/>
          <w:sz w:val="22"/>
          <w:szCs w:val="22"/>
        </w:rPr>
      </w:pPr>
    </w:p>
    <w:p w:rsidR="000F1B27">
      <w:pPr>
        <w:tabs>
          <w:tab w:val="left" w:pos="2400"/>
        </w:tabs>
        <w:rPr>
          <w:rFonts w:ascii="宋体" w:hAnsi="宋体" w:cs="宋体"/>
          <w:color w:val="000000"/>
          <w:sz w:val="22"/>
          <w:szCs w:val="22"/>
        </w:rPr>
      </w:pPr>
    </w:p>
    <w:p w:rsidR="000F1B27">
      <w:pPr>
        <w:tabs>
          <w:tab w:val="left" w:pos="2400"/>
        </w:tabs>
        <w:rPr>
          <w:rFonts w:ascii="宋体" w:hAnsi="宋体" w:cs="宋体"/>
          <w:color w:val="000000"/>
          <w:sz w:val="22"/>
          <w:szCs w:val="22"/>
        </w:rPr>
      </w:pPr>
    </w:p>
    <w:p w:rsidR="000F1B27">
      <w:pPr>
        <w:tabs>
          <w:tab w:val="left" w:pos="2400"/>
        </w:tabs>
        <w:rPr>
          <w:rFonts w:ascii="宋体" w:hAnsi="宋体" w:cs="宋体"/>
          <w:color w:val="000000"/>
          <w:sz w:val="22"/>
          <w:szCs w:val="22"/>
        </w:rPr>
      </w:pPr>
    </w:p>
    <w:p w:rsidR="000F1B27">
      <w:pPr>
        <w:tabs>
          <w:tab w:val="left" w:pos="2400"/>
        </w:tabs>
        <w:rPr>
          <w:rFonts w:ascii="宋体" w:hAnsi="宋体" w:cs="宋体"/>
          <w:color w:val="000000"/>
          <w:sz w:val="22"/>
          <w:szCs w:val="22"/>
        </w:rPr>
      </w:pPr>
    </w:p>
    <w:p w:rsidR="000F1B27">
      <w:pPr>
        <w:tabs>
          <w:tab w:val="left" w:pos="2400"/>
        </w:tabs>
        <w:rPr>
          <w:rFonts w:ascii="宋体" w:hAnsi="宋体" w:cs="宋体"/>
          <w:color w:val="000000"/>
          <w:sz w:val="22"/>
          <w:szCs w:val="22"/>
        </w:rPr>
      </w:pPr>
    </w:p>
    <w:p w:rsidR="000F1B27">
      <w:pPr>
        <w:tabs>
          <w:tab w:val="left" w:pos="2400"/>
        </w:tabs>
        <w:rPr>
          <w:rFonts w:ascii="宋体" w:hAnsi="宋体" w:cs="宋体"/>
          <w:color w:val="000000"/>
          <w:sz w:val="22"/>
          <w:szCs w:val="22"/>
        </w:rPr>
      </w:pPr>
    </w:p>
    <w:p w:rsidR="000F1B27">
      <w:pPr>
        <w:tabs>
          <w:tab w:val="left" w:pos="2400"/>
        </w:tabs>
        <w:rPr>
          <w:rFonts w:ascii="宋体" w:hAnsi="宋体" w:cs="宋体"/>
          <w:color w:val="000000"/>
          <w:sz w:val="22"/>
          <w:szCs w:val="22"/>
        </w:rPr>
      </w:pPr>
    </w:p>
    <w:p w:rsidR="000F1B27" w:rsidRPr="000F1B27" w:rsidP="000F1B27">
      <w:pPr>
        <w:tabs>
          <w:tab w:val="left" w:pos="2400"/>
        </w:tabs>
        <w:jc w:val="center"/>
        <w:rPr>
          <w:color w:val="000000"/>
          <w:sz w:val="48"/>
          <w:szCs w:val="48"/>
        </w:rPr>
      </w:pPr>
      <w:bookmarkStart w:id="0" w:name="_GoBack"/>
      <w:r w:rsidRPr="000F1B27">
        <w:rPr>
          <w:noProof/>
          <w:color w:val="000000"/>
          <w:sz w:val="48"/>
          <w:szCs w:val="48"/>
        </w:rPr>
        <w:t>分体式保真取芯器压力加载实验结构</w:t>
      </w:r>
    </w:p>
    <w:p w:rsidR="000F1B27">
      <w:pPr>
        <w:tabs>
          <w:tab w:val="left" w:pos="2400"/>
        </w:tabs>
        <w:rPr>
          <w:rFonts w:ascii="宋体" w:hAnsi="宋体" w:cs="宋体" w:hint="eastAsia"/>
          <w:color w:val="000000"/>
          <w:sz w:val="22"/>
          <w:szCs w:val="22"/>
        </w:rPr>
      </w:pPr>
      <w:bookmarkEnd w:id="0"/>
    </w:p>
    <w:p w:rsidR="000F1B27">
      <w:pPr>
        <w:tabs>
          <w:tab w:val="left" w:pos="2400"/>
        </w:tabs>
        <w:rPr>
          <w:rFonts w:ascii="宋体" w:hAnsi="宋体" w:cs="宋体"/>
          <w:color w:val="000000"/>
          <w:sz w:val="22"/>
          <w:szCs w:val="22"/>
        </w:rPr>
      </w:pPr>
    </w:p>
    <w:p w:rsidR="000F1B27">
      <w:pPr>
        <w:tabs>
          <w:tab w:val="left" w:pos="2400"/>
        </w:tabs>
        <w:rPr>
          <w:rFonts w:ascii="宋体" w:hAnsi="宋体" w:cs="宋体"/>
          <w:color w:val="000000"/>
          <w:sz w:val="22"/>
          <w:szCs w:val="22"/>
        </w:rPr>
      </w:pPr>
    </w:p>
    <w:p w:rsidR="002876FB">
      <w:pPr>
        <w:tabs>
          <w:tab w:val="left" w:pos="2400"/>
        </w:tabs>
        <w:rPr>
          <w:rFonts w:hint="eastAsia"/>
        </w:rPr>
      </w:pPr>
    </w:p>
    <w:tbl>
      <w:tblPr>
        <w:tblStyle w:val="TableGrid"/>
        <w:tblW w:w="9354" w:type="dxa"/>
        <w:tblLayout w:type="fixed"/>
        <w:tblLook w:val="04A0"/>
      </w:tblPr>
      <w:tblGrid>
        <w:gridCol w:w="2476"/>
        <w:gridCol w:w="6878"/>
      </w:tblGrid>
      <w:tr>
        <w:tblPrEx>
          <w:tblW w:w="9354" w:type="dxa"/>
          <w:tblLayout w:type="fixed"/>
          <w:tblLook w:val="04A0"/>
        </w:tblPrEx>
        <w:trPr>
          <w:trHeight w:val="534"/>
        </w:trPr>
        <w:tc>
          <w:tcPr>
            <w:tcW w:w="2476" w:type="dxa"/>
            <w:tcBorders>
              <w:top w:val="nil"/>
              <w:left w:val="nil"/>
              <w:bottom w:val="nil"/>
              <w:right w:val="nil"/>
            </w:tcBorders>
          </w:tcPr>
          <w:p w:rsidR="002876FB">
            <w:pPr>
              <w:tabs>
                <w:tab w:val="left" w:pos="2400"/>
              </w:tabs>
              <w:spacing w:line="480" w:lineRule="auto"/>
              <w:jc w:val="right"/>
            </w:pPr>
            <w:r>
              <w:rPr>
                <w:rFonts w:hint="eastAsia"/>
              </w:rPr>
              <w:t>申请号：</w:t>
            </w:r>
          </w:p>
        </w:tc>
        <w:tc>
          <w:tcPr>
            <w:tcW w:w="6878" w:type="dxa"/>
            <w:tcBorders>
              <w:top w:val="nil"/>
              <w:left w:val="nil"/>
              <w:bottom w:val="nil"/>
              <w:right w:val="nil"/>
            </w:tcBorders>
          </w:tcPr>
          <w:p w:rsidR="002876FB">
            <w:pPr>
              <w:tabs>
                <w:tab w:val="left" w:pos="2400"/>
              </w:tabs>
              <w:spacing w:line="480" w:lineRule="auto"/>
            </w:pPr>
            <w:r>
              <w:t>CN202021018290.X</w:t>
            </w:r>
            <w:r>
              <w:t xml:space="preserve"> </w:t>
            </w:r>
          </w:p>
        </w:tc>
      </w:tr>
      <w:tr>
        <w:tblPrEx>
          <w:tblW w:w="9354" w:type="dxa"/>
          <w:tblLayout w:type="fixed"/>
          <w:tblLook w:val="04A0"/>
        </w:tblPrEx>
        <w:trPr>
          <w:trHeight w:val="474"/>
        </w:trPr>
        <w:tc>
          <w:tcPr>
            <w:tcW w:w="2476" w:type="dxa"/>
            <w:tcBorders>
              <w:top w:val="nil"/>
              <w:left w:val="nil"/>
              <w:bottom w:val="nil"/>
              <w:right w:val="nil"/>
            </w:tcBorders>
          </w:tcPr>
          <w:p w:rsidR="002876FB">
            <w:pPr>
              <w:tabs>
                <w:tab w:val="left" w:pos="2400"/>
              </w:tabs>
              <w:spacing w:line="480" w:lineRule="auto"/>
              <w:jc w:val="right"/>
            </w:pPr>
            <w:r>
              <w:rPr>
                <w:rFonts w:hint="eastAsia"/>
              </w:rPr>
              <w:t>申请日：</w:t>
            </w:r>
          </w:p>
        </w:tc>
        <w:tc>
          <w:tcPr>
            <w:tcW w:w="6878" w:type="dxa"/>
            <w:tcBorders>
              <w:top w:val="nil"/>
              <w:left w:val="nil"/>
              <w:bottom w:val="nil"/>
              <w:right w:val="nil"/>
            </w:tcBorders>
          </w:tcPr>
          <w:p w:rsidR="002876FB">
            <w:pPr>
              <w:tabs>
                <w:tab w:val="left" w:pos="2400"/>
              </w:tabs>
              <w:spacing w:line="480" w:lineRule="auto"/>
            </w:pPr>
            <w:r>
              <w:t>20200605</w:t>
            </w:r>
          </w:p>
        </w:tc>
      </w:tr>
      <w:tr>
        <w:tblPrEx>
          <w:tblW w:w="9354" w:type="dxa"/>
          <w:tblLayout w:type="fixed"/>
          <w:tblLook w:val="04A0"/>
        </w:tblPrEx>
        <w:trPr>
          <w:trHeight w:val="474"/>
        </w:trPr>
        <w:tc>
          <w:tcPr>
            <w:tcW w:w="2476" w:type="dxa"/>
            <w:tcBorders>
              <w:top w:val="nil"/>
              <w:left w:val="nil"/>
              <w:bottom w:val="nil"/>
              <w:right w:val="nil"/>
            </w:tcBorders>
          </w:tcPr>
          <w:p w:rsidR="002876FB">
            <w:pPr>
              <w:tabs>
                <w:tab w:val="left" w:pos="2400"/>
              </w:tabs>
              <w:spacing w:line="480" w:lineRule="auto"/>
              <w:jc w:val="right"/>
            </w:pPr>
            <w:r>
              <w:rPr>
                <w:rFonts w:hint="eastAsia"/>
              </w:rPr>
              <w:t>申请（专利权）人：</w:t>
            </w:r>
          </w:p>
        </w:tc>
        <w:tc>
          <w:tcPr>
            <w:tcW w:w="6878" w:type="dxa"/>
            <w:tcBorders>
              <w:top w:val="nil"/>
              <w:left w:val="nil"/>
              <w:bottom w:val="nil"/>
              <w:right w:val="nil"/>
            </w:tcBorders>
          </w:tcPr>
          <w:p w:rsidR="002876FB">
            <w:pPr>
              <w:tabs>
                <w:tab w:val="left" w:pos="2400"/>
              </w:tabs>
              <w:spacing w:line="480" w:lineRule="auto"/>
            </w:pPr>
            <w:r>
              <w:t>[深圳大学]</w:t>
            </w:r>
          </w:p>
        </w:tc>
      </w:tr>
      <w:tr>
        <w:tblPrEx>
          <w:tblW w:w="9354" w:type="dxa"/>
          <w:tblLayout w:type="fixed"/>
          <w:tblLook w:val="04A0"/>
        </w:tblPrEx>
        <w:trPr>
          <w:trHeight w:val="474"/>
        </w:trPr>
        <w:tc>
          <w:tcPr>
            <w:tcW w:w="2476" w:type="dxa"/>
            <w:tcBorders>
              <w:top w:val="nil"/>
              <w:left w:val="nil"/>
              <w:bottom w:val="nil"/>
              <w:right w:val="nil"/>
            </w:tcBorders>
          </w:tcPr>
          <w:p w:rsidR="002876FB">
            <w:pPr>
              <w:spacing w:line="480" w:lineRule="auto"/>
              <w:jc w:val="right"/>
            </w:pPr>
            <w:r>
              <w:rPr>
                <w:rFonts w:hint="eastAsia"/>
              </w:rPr>
              <w:t>地址：</w:t>
            </w:r>
          </w:p>
        </w:tc>
        <w:tc>
          <w:tcPr>
            <w:tcW w:w="6878" w:type="dxa"/>
            <w:tcBorders>
              <w:top w:val="nil"/>
              <w:left w:val="nil"/>
              <w:bottom w:val="nil"/>
              <w:right w:val="nil"/>
            </w:tcBorders>
          </w:tcPr>
          <w:p w:rsidR="002876FB">
            <w:pPr>
              <w:tabs>
                <w:tab w:val="left" w:pos="2400"/>
              </w:tabs>
              <w:spacing w:line="480" w:lineRule="auto"/>
            </w:pPr>
            <w:r>
              <w:t>广东省深圳市南山区南海大道3688号</w:t>
            </w:r>
          </w:p>
        </w:tc>
      </w:tr>
      <w:tr>
        <w:tblPrEx>
          <w:tblW w:w="9354" w:type="dxa"/>
          <w:tblLayout w:type="fixed"/>
          <w:tblLook w:val="04A0"/>
        </w:tblPrEx>
        <w:trPr>
          <w:trHeight w:val="474"/>
        </w:trPr>
        <w:tc>
          <w:tcPr>
            <w:tcW w:w="2476" w:type="dxa"/>
            <w:tcBorders>
              <w:top w:val="nil"/>
              <w:left w:val="nil"/>
              <w:bottom w:val="nil"/>
              <w:right w:val="nil"/>
            </w:tcBorders>
          </w:tcPr>
          <w:p w:rsidR="002876FB">
            <w:pPr>
              <w:spacing w:line="480" w:lineRule="auto"/>
              <w:jc w:val="right"/>
            </w:pPr>
            <w:r>
              <w:rPr>
                <w:rFonts w:hint="eastAsia"/>
              </w:rPr>
              <w:t>发明人：</w:t>
            </w:r>
          </w:p>
        </w:tc>
        <w:tc>
          <w:tcPr>
            <w:tcW w:w="6878" w:type="dxa"/>
            <w:tcBorders>
              <w:top w:val="nil"/>
              <w:left w:val="nil"/>
              <w:bottom w:val="nil"/>
              <w:right w:val="nil"/>
            </w:tcBorders>
          </w:tcPr>
          <w:p w:rsidR="002876FB">
            <w:pPr>
              <w:spacing w:line="480" w:lineRule="auto"/>
            </w:pPr>
            <w:r>
              <w:t>[谢和平, 高明忠, 陈领, 李聪, 吴年汉, 李佳南, 何志强, 杨明庆, 胡云起, 刘贵康]</w:t>
            </w:r>
          </w:p>
        </w:tc>
      </w:tr>
      <w:tr>
        <w:tblPrEx>
          <w:tblW w:w="9354" w:type="dxa"/>
          <w:tblLayout w:type="fixed"/>
          <w:tblLook w:val="04A0"/>
        </w:tblPrEx>
        <w:trPr>
          <w:trHeight w:val="474"/>
        </w:trPr>
        <w:tc>
          <w:tcPr>
            <w:tcW w:w="2476" w:type="dxa"/>
            <w:tcBorders>
              <w:top w:val="nil"/>
              <w:left w:val="nil"/>
              <w:bottom w:val="nil"/>
              <w:right w:val="nil"/>
            </w:tcBorders>
          </w:tcPr>
          <w:p w:rsidR="002876FB">
            <w:pPr>
              <w:spacing w:line="480" w:lineRule="auto"/>
              <w:jc w:val="right"/>
            </w:pPr>
            <w:r>
              <w:rPr>
                <w:rFonts w:hint="eastAsia"/>
              </w:rPr>
              <w:t>主分类号：</w:t>
            </w:r>
          </w:p>
        </w:tc>
        <w:tc>
          <w:tcPr>
            <w:tcW w:w="6878" w:type="dxa"/>
            <w:tcBorders>
              <w:top w:val="nil"/>
              <w:left w:val="nil"/>
              <w:bottom w:val="nil"/>
              <w:right w:val="nil"/>
            </w:tcBorders>
          </w:tcPr>
          <w:p w:rsidR="002876FB">
            <w:pPr>
              <w:tabs>
                <w:tab w:val="left" w:pos="2400"/>
              </w:tabs>
              <w:spacing w:line="480" w:lineRule="auto"/>
            </w:pPr>
            <w:r>
              <w:t>G01N1/08</w:t>
            </w:r>
          </w:p>
        </w:tc>
      </w:tr>
      <w:tr>
        <w:tblPrEx>
          <w:tblW w:w="9354" w:type="dxa"/>
          <w:tblLayout w:type="fixed"/>
          <w:tblLook w:val="04A0"/>
        </w:tblPrEx>
        <w:trPr>
          <w:trHeight w:val="474"/>
        </w:trPr>
        <w:tc>
          <w:tcPr>
            <w:tcW w:w="2476" w:type="dxa"/>
            <w:tcBorders>
              <w:top w:val="nil"/>
              <w:left w:val="nil"/>
              <w:bottom w:val="nil"/>
              <w:right w:val="nil"/>
            </w:tcBorders>
          </w:tcPr>
          <w:p w:rsidR="002876FB">
            <w:pPr>
              <w:spacing w:line="480" w:lineRule="auto"/>
              <w:jc w:val="right"/>
            </w:pPr>
            <w:r>
              <w:rPr>
                <w:rFonts w:hint="eastAsia"/>
              </w:rPr>
              <w:t>公开（公告）号：</w:t>
            </w:r>
          </w:p>
        </w:tc>
        <w:tc>
          <w:tcPr>
            <w:tcW w:w="6878" w:type="dxa"/>
            <w:tcBorders>
              <w:top w:val="nil"/>
              <w:left w:val="nil"/>
              <w:bottom w:val="nil"/>
              <w:right w:val="nil"/>
            </w:tcBorders>
          </w:tcPr>
          <w:p w:rsidR="002876FB">
            <w:pPr>
              <w:tabs>
                <w:tab w:val="left" w:pos="2400"/>
              </w:tabs>
              <w:spacing w:line="480" w:lineRule="auto"/>
            </w:pPr>
            <w:r>
              <w:t>CN212275286U</w:t>
            </w:r>
          </w:p>
        </w:tc>
      </w:tr>
      <w:tr>
        <w:tblPrEx>
          <w:tblW w:w="9354" w:type="dxa"/>
          <w:tblLayout w:type="fixed"/>
          <w:tblLook w:val="04A0"/>
        </w:tblPrEx>
        <w:trPr>
          <w:trHeight w:val="474"/>
        </w:trPr>
        <w:tc>
          <w:tcPr>
            <w:tcW w:w="2476" w:type="dxa"/>
            <w:tcBorders>
              <w:top w:val="nil"/>
              <w:left w:val="nil"/>
              <w:bottom w:val="nil"/>
              <w:right w:val="nil"/>
            </w:tcBorders>
          </w:tcPr>
          <w:p w:rsidR="002876FB">
            <w:pPr>
              <w:spacing w:line="480" w:lineRule="auto"/>
              <w:jc w:val="right"/>
            </w:pPr>
            <w:r>
              <w:rPr>
                <w:rFonts w:hint="eastAsia"/>
              </w:rPr>
              <w:t>公开（公告）日：</w:t>
            </w:r>
          </w:p>
        </w:tc>
        <w:tc>
          <w:tcPr>
            <w:tcW w:w="6878" w:type="dxa"/>
            <w:tcBorders>
              <w:top w:val="nil"/>
              <w:left w:val="nil"/>
              <w:bottom w:val="nil"/>
              <w:right w:val="nil"/>
            </w:tcBorders>
          </w:tcPr>
          <w:p w:rsidR="002876FB">
            <w:pPr>
              <w:tabs>
                <w:tab w:val="left" w:pos="2400"/>
              </w:tabs>
              <w:spacing w:line="480" w:lineRule="auto"/>
            </w:pPr>
            <w:r>
              <w:t>20210101</w:t>
            </w:r>
          </w:p>
        </w:tc>
      </w:tr>
      <w:tr>
        <w:tblPrEx>
          <w:tblW w:w="9354" w:type="dxa"/>
          <w:tblLayout w:type="fixed"/>
          <w:tblLook w:val="04A0"/>
        </w:tblPrEx>
        <w:trPr>
          <w:trHeight w:val="474"/>
        </w:trPr>
        <w:tc>
          <w:tcPr>
            <w:tcW w:w="2476" w:type="dxa"/>
            <w:tcBorders>
              <w:top w:val="nil"/>
              <w:left w:val="nil"/>
              <w:bottom w:val="nil"/>
              <w:right w:val="nil"/>
            </w:tcBorders>
          </w:tcPr>
          <w:p w:rsidR="002876FB">
            <w:pPr>
              <w:spacing w:line="480" w:lineRule="auto"/>
              <w:jc w:val="right"/>
            </w:pPr>
            <w:r>
              <w:rPr>
                <w:rFonts w:hint="eastAsia"/>
              </w:rPr>
              <w:t>代理机构：</w:t>
            </w:r>
          </w:p>
        </w:tc>
        <w:tc>
          <w:tcPr>
            <w:tcW w:w="6878" w:type="dxa"/>
            <w:tcBorders>
              <w:top w:val="nil"/>
              <w:left w:val="nil"/>
              <w:bottom w:val="nil"/>
              <w:right w:val="nil"/>
            </w:tcBorders>
          </w:tcPr>
          <w:p w:rsidR="002876FB">
            <w:pPr>
              <w:tabs>
                <w:tab w:val="left" w:pos="2400"/>
              </w:tabs>
              <w:spacing w:line="480" w:lineRule="auto"/>
            </w:pPr>
            <w:r>
              <w:t>成都熠邦鼎立专利代理有限公司</w:t>
            </w:r>
          </w:p>
        </w:tc>
      </w:tr>
      <w:tr>
        <w:tblPrEx>
          <w:tblW w:w="9354" w:type="dxa"/>
          <w:tblLayout w:type="fixed"/>
          <w:tblLook w:val="04A0"/>
        </w:tblPrEx>
        <w:trPr>
          <w:trHeight w:val="491"/>
        </w:trPr>
        <w:tc>
          <w:tcPr>
            <w:tcW w:w="2476" w:type="dxa"/>
            <w:tcBorders>
              <w:top w:val="nil"/>
              <w:left w:val="nil"/>
              <w:bottom w:val="nil"/>
              <w:right w:val="nil"/>
            </w:tcBorders>
          </w:tcPr>
          <w:p w:rsidR="002876FB">
            <w:pPr>
              <w:spacing w:line="480" w:lineRule="auto"/>
              <w:jc w:val="right"/>
            </w:pPr>
            <w:r>
              <w:rPr>
                <w:rFonts w:hint="eastAsia"/>
              </w:rPr>
              <w:t>代理人：</w:t>
            </w:r>
          </w:p>
        </w:tc>
        <w:tc>
          <w:tcPr>
            <w:tcW w:w="6878" w:type="dxa"/>
            <w:tcBorders>
              <w:top w:val="nil"/>
              <w:left w:val="nil"/>
              <w:bottom w:val="nil"/>
              <w:right w:val="nil"/>
            </w:tcBorders>
          </w:tcPr>
          <w:p w:rsidR="002876FB">
            <w:pPr>
              <w:tabs>
                <w:tab w:val="left" w:pos="2400"/>
              </w:tabs>
              <w:spacing w:line="480" w:lineRule="auto"/>
            </w:pPr>
            <w:r>
              <w:t>[李晓英]</w:t>
            </w:r>
          </w:p>
        </w:tc>
      </w:tr>
    </w:tbl>
    <w:p w:rsidR="002876FB">
      <w:pPr>
        <w:tabs>
          <w:tab w:val="left" w:pos="2400"/>
        </w:tabs>
      </w:pPr>
      <w:r>
        <w:rPr>
          <w:noProof/>
        </w:rPr>
        <mc:AlternateContent>
          <mc:Choice Requires="wps">
            <w:drawing>
              <wp:anchor distT="0" distB="0" distL="114300" distR="114300" simplePos="0" relativeHeight="251658240" behindDoc="0" locked="0" layoutInCell="1" allowOverlap="1">
                <wp:simplePos x="0" y="0"/>
                <wp:positionH relativeFrom="column">
                  <wp:posOffset>4638675</wp:posOffset>
                </wp:positionH>
                <wp:positionV relativeFrom="paragraph">
                  <wp:posOffset>1431290</wp:posOffset>
                </wp:positionV>
                <wp:extent cx="1914525" cy="342900"/>
                <wp:effectExtent l="0" t="0" r="0" b="0"/>
                <wp:wrapNone/>
                <wp:docPr id="11" name="文本框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1914525" cy="342900"/>
                        </a:xfrm>
                        <a:prstGeom prst="rect">
                          <a:avLst/>
                        </a:prstGeom>
                        <a:noFill/>
                        <a:ln w="15875">
                          <a:noFill/>
                        </a:ln>
                      </wps:spPr>
                      <wps:txbx>
                        <w:txbxContent>
                          <w:p w:rsidR="002876FB">
                            <w:pPr>
                              <w:rPr>
                                <w:rFonts w:ascii="微软雅黑" w:eastAsia="微软雅黑" w:hAnsi="微软雅黑" w:cs="微软雅黑"/>
                                <w:color w:val="BFBFBF"/>
                              </w:rPr>
                            </w:pPr>
                            <w:r>
                              <w:rPr>
                                <w:rFonts w:ascii="微软雅黑" w:eastAsia="微软雅黑" w:hAnsi="微软雅黑" w:cs="微软雅黑" w:hint="eastAsia"/>
                                <w:color w:val="BFBFBF"/>
                              </w:rPr>
                              <w:t>www.patexplorer.com</w:t>
                            </w:r>
                          </w:p>
                        </w:txbxContent>
                      </wps:txbx>
                      <wps:bodyPr wrap="square" anchor="t" upright="1"/>
                    </wps:wsp>
                  </a:graphicData>
                </a:graphic>
              </wp:anchor>
            </w:drawing>
          </mc:Choice>
          <mc:Fallback>
            <w:pict>
              <v:shapetype id="_x0000_t202" coordsize="21600,21600" o:spt="202" path="m,l,21600r21600,l21600,xe">
                <v:stroke joinstyle="miter"/>
                <v:path gradientshapeok="t" o:connecttype="rect"/>
              </v:shapetype>
              <v:shape id="文本框 18" o:spid="_x0000_s1025" type="#_x0000_t202" style="height:27pt;margin-left:365.25pt;margin-top:112.7pt;mso-wrap-distance-bottom:0;mso-wrap-distance-left:9pt;mso-wrap-distance-right:9pt;mso-wrap-distance-top:0;mso-wrap-style:square;position:absolute;v-text-anchor:top;visibility:visible;width:150.75pt;z-index:251659264" filled="f" stroked="f" strokeweight="1.25pt">
                <v:textbox>
                  <w:txbxContent>
                    <w:p w:rsidR="002876FB">
                      <w:pPr>
                        <w:rPr>
                          <w:rFonts w:ascii="微软雅黑" w:eastAsia="微软雅黑" w:hAnsi="微软雅黑" w:cs="微软雅黑"/>
                          <w:color w:val="BFBFBF"/>
                        </w:rPr>
                      </w:pPr>
                      <w:r>
                        <w:rPr>
                          <w:rFonts w:ascii="微软雅黑" w:eastAsia="微软雅黑" w:hAnsi="微软雅黑" w:cs="微软雅黑" w:hint="eastAsia"/>
                          <w:color w:val="BFBFBF"/>
                        </w:rPr>
                        <w:t>www.patexplorer.com</w:t>
                      </w:r>
                    </w:p>
                  </w:txbxContent>
                </v:textbox>
              </v:shape>
            </w:pict>
          </mc:Fallback>
        </mc:AlternateContent>
      </w:r>
      <w:r>
        <w:br w:type="page"/>
      </w:r>
    </w:p>
    <w:tbl>
      <w:tblPr>
        <w:tblW w:w="8522" w:type="dxa"/>
        <w:tblBorders>
          <w:top w:val="single" w:sz="12" w:space="0" w:color="000000"/>
          <w:bottom w:val="single" w:sz="12" w:space="0" w:color="000000"/>
        </w:tblBorders>
        <w:tblLayout w:type="fixed"/>
        <w:tblLook w:val="04A0"/>
      </w:tblPr>
      <w:tblGrid>
        <w:gridCol w:w="2376"/>
        <w:gridCol w:w="3305"/>
        <w:gridCol w:w="2841"/>
      </w:tblGrid>
      <w:tr>
        <w:tblPrEx>
          <w:tblW w:w="8522" w:type="dxa"/>
          <w:tblBorders>
            <w:top w:val="single" w:sz="12" w:space="0" w:color="000000"/>
            <w:bottom w:val="single" w:sz="12" w:space="0" w:color="000000"/>
          </w:tblBorders>
          <w:tblLayout w:type="fixed"/>
          <w:tblLook w:val="04A0"/>
        </w:tblPrEx>
        <w:tc>
          <w:tcPr>
            <w:tcW w:w="8522" w:type="dxa"/>
            <w:gridSpan w:val="3"/>
            <w:tcBorders>
              <w:top w:val="nil"/>
              <w:bottom w:val="nil"/>
              <w:right w:val="nil"/>
            </w:tcBorders>
            <w:shd w:val="clear" w:color="auto" w:fill="auto"/>
          </w:tcPr>
          <w:p w:rsidR="002876FB">
            <w:pPr>
              <w:rPr>
                <w:rFonts w:ascii="宋体" w:hAnsi="宋体" w:cs="宋体"/>
                <w:b/>
                <w:i/>
                <w:iCs/>
                <w:color w:val="000000"/>
                <w:sz w:val="30"/>
              </w:rPr>
            </w:pPr>
            <w:r>
              <w:rPr>
                <w:rFonts w:ascii="宋体" w:hAnsi="宋体" w:cs="宋体"/>
                <w:b/>
                <w:iCs/>
                <w:color w:val="000000"/>
                <w:sz w:val="30"/>
              </w:rPr>
              <w:t>（19）中</w:t>
            </w:r>
            <w:r>
              <w:rPr>
                <w:rFonts w:ascii="宋体" w:hAnsi="宋体" w:cs="宋体" w:hint="eastAsia"/>
                <w:b/>
                <w:iCs/>
                <w:color w:val="000000"/>
                <w:sz w:val="30"/>
              </w:rPr>
              <w:t>华</w:t>
            </w:r>
            <w:r>
              <w:rPr>
                <w:rFonts w:ascii="宋体" w:hAnsi="宋体" w:cs="宋体"/>
                <w:b/>
                <w:iCs/>
                <w:color w:val="000000"/>
                <w:sz w:val="30"/>
              </w:rPr>
              <w:t>人民共和国国家知识产权局</w:t>
            </w:r>
          </w:p>
        </w:tc>
      </w:tr>
      <w:tr>
        <w:tblPrEx>
          <w:tblW w:w="8522" w:type="dxa"/>
          <w:tblLayout w:type="fixed"/>
          <w:tblLook w:val="04A0"/>
        </w:tblPrEx>
        <w:tc>
          <w:tcPr>
            <w:tcW w:w="2376" w:type="dxa"/>
            <w:vMerge w:val="restart"/>
            <w:tcBorders>
              <w:top w:val="nil"/>
              <w:right w:val="nil"/>
            </w:tcBorders>
            <w:shd w:val="clear" w:color="auto" w:fill="auto"/>
          </w:tcPr>
          <w:p w:rsidR="002876FB">
            <w:pPr>
              <w:rPr>
                <w:rFonts w:ascii="宋体" w:hAnsi="宋体" w:cs="宋体"/>
                <w:color w:val="000000"/>
                <w:sz w:val="30"/>
              </w:rPr>
            </w:pPr>
            <w:r>
              <w:rPr>
                <w:rFonts w:ascii="宋体" w:hAnsi="宋体" w:cs="宋体"/>
                <w:noProof/>
                <w:color w:val="000000"/>
                <w:sz w:val="30"/>
              </w:rPr>
              <w:drawing>
                <wp:inline distT="0" distB="0" distL="114300" distR="114300">
                  <wp:extent cx="914400" cy="7620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xmlns:r="http://schemas.openxmlformats.org/officeDocument/2006/relationships" r:embed="rId7"/>
                          <a:stretch>
                            <a:fillRect/>
                          </a:stretch>
                        </pic:blipFill>
                        <pic:spPr>
                          <a:xfrm>
                            <a:off x="0" y="0"/>
                            <a:ext cx="914400" cy="762000"/>
                          </a:xfrm>
                          <a:prstGeom prst="rect">
                            <a:avLst/>
                          </a:prstGeom>
                          <a:noFill/>
                          <a:ln w="9525">
                            <a:noFill/>
                          </a:ln>
                        </pic:spPr>
                      </pic:pic>
                    </a:graphicData>
                  </a:graphic>
                </wp:inline>
              </w:drawing>
            </w:r>
          </w:p>
        </w:tc>
        <w:tc>
          <w:tcPr>
            <w:tcW w:w="3305" w:type="dxa"/>
            <w:tcBorders>
              <w:top w:val="nil"/>
              <w:left w:val="nil"/>
            </w:tcBorders>
            <w:shd w:val="clear" w:color="auto" w:fill="auto"/>
          </w:tcPr>
          <w:p w:rsidR="002876FB">
            <w:pPr>
              <w:rPr>
                <w:rFonts w:ascii="宋体" w:hAnsi="宋体" w:cs="宋体"/>
                <w:color w:val="000000"/>
                <w:sz w:val="30"/>
              </w:rPr>
            </w:pPr>
          </w:p>
        </w:tc>
        <w:tc>
          <w:tcPr>
            <w:tcW w:w="2841" w:type="dxa"/>
            <w:tcBorders>
              <w:top w:val="nil"/>
            </w:tcBorders>
            <w:shd w:val="clear" w:color="auto" w:fill="auto"/>
          </w:tcPr>
          <w:p w:rsidR="002876FB">
            <w:pPr>
              <w:jc w:val="center"/>
              <w:rPr>
                <w:rFonts w:ascii="宋体" w:hAnsi="宋体" w:cs="宋体"/>
                <w:color w:val="000000"/>
                <w:sz w:val="30"/>
              </w:rPr>
            </w:pPr>
          </w:p>
        </w:tc>
      </w:tr>
      <w:tr>
        <w:tblPrEx>
          <w:tblW w:w="8522" w:type="dxa"/>
          <w:tblLayout w:type="fixed"/>
          <w:tblLook w:val="04A0"/>
        </w:tblPrEx>
        <w:tc>
          <w:tcPr>
            <w:tcW w:w="2376" w:type="dxa"/>
            <w:vMerge/>
            <w:tcBorders>
              <w:right w:val="nil"/>
            </w:tcBorders>
            <w:shd w:val="clear" w:color="auto" w:fill="auto"/>
          </w:tcPr>
          <w:p w:rsidR="002876FB">
            <w:pPr>
              <w:rPr>
                <w:rFonts w:ascii="宋体" w:hAnsi="宋体" w:cs="宋体"/>
                <w:color w:val="000000"/>
                <w:sz w:val="30"/>
              </w:rPr>
            </w:pPr>
          </w:p>
        </w:tc>
        <w:tc>
          <w:tcPr>
            <w:tcW w:w="6146" w:type="dxa"/>
            <w:gridSpan w:val="2"/>
            <w:tcBorders>
              <w:left w:val="nil"/>
            </w:tcBorders>
            <w:shd w:val="clear" w:color="auto" w:fill="auto"/>
          </w:tcPr>
          <w:p w:rsidR="002876FB">
            <w:pPr>
              <w:rPr>
                <w:rFonts w:ascii="宋体" w:hAnsi="宋体" w:cs="宋体"/>
                <w:b/>
                <w:color w:val="000000"/>
                <w:sz w:val="30"/>
              </w:rPr>
            </w:pPr>
            <w:r>
              <w:rPr>
                <w:rFonts w:ascii="宋体" w:hAnsi="宋体" w:cs="宋体"/>
                <w:b/>
                <w:color w:val="000000"/>
                <w:sz w:val="30"/>
              </w:rPr>
              <w:t>（12）实用新型专利</w:t>
            </w:r>
          </w:p>
        </w:tc>
      </w:tr>
      <w:tr>
        <w:tblPrEx>
          <w:tblW w:w="8522" w:type="dxa"/>
          <w:tblLayout w:type="fixed"/>
          <w:tblLook w:val="04A0"/>
        </w:tblPrEx>
        <w:tc>
          <w:tcPr>
            <w:tcW w:w="8522" w:type="dxa"/>
            <w:gridSpan w:val="3"/>
            <w:tcBorders>
              <w:right w:val="nil"/>
            </w:tcBorders>
            <w:shd w:val="clear" w:color="auto" w:fill="auto"/>
          </w:tcPr>
          <w:p w:rsidR="002876FB">
            <w:pPr>
              <w:jc w:val="right"/>
              <w:rPr>
                <w:rFonts w:ascii="宋体" w:hAnsi="宋体" w:cs="宋体"/>
                <w:color w:val="000000"/>
                <w:sz w:val="30"/>
              </w:rPr>
            </w:pPr>
            <w:r>
              <w:rPr>
                <w:rFonts w:ascii="宋体" w:hAnsi="宋体" w:cs="宋体"/>
                <w:b/>
                <w:color w:val="000000"/>
                <w:sz w:val="22"/>
              </w:rPr>
              <w:t>（10）授权公告号</w:t>
            </w:r>
            <w:r>
              <w:rPr>
                <w:rFonts w:ascii="宋体" w:hAnsi="宋体" w:cs="宋体"/>
                <w:color w:val="000000"/>
                <w:sz w:val="22"/>
              </w:rPr>
              <w:t xml:space="preserve"> </w:t>
            </w:r>
            <w:r>
              <w:rPr>
                <w:rFonts w:ascii="宋体" w:hAnsi="宋体" w:cs="宋体"/>
                <w:color w:val="000000"/>
                <w:sz w:val="22"/>
              </w:rPr>
              <w:t>CN212275286U</w:t>
            </w:r>
          </w:p>
          <w:p w:rsidR="002876FB">
            <w:pPr>
              <w:jc w:val="right"/>
              <w:rPr>
                <w:rFonts w:ascii="宋体" w:hAnsi="宋体" w:cs="宋体"/>
                <w:color w:val="000000"/>
                <w:sz w:val="30"/>
              </w:rPr>
            </w:pPr>
            <w:r>
              <w:rPr>
                <w:rFonts w:ascii="宋体" w:hAnsi="宋体" w:cs="宋体"/>
                <w:b/>
                <w:color w:val="000000"/>
                <w:sz w:val="22"/>
              </w:rPr>
              <w:t>（45）授权公告日</w:t>
            </w:r>
            <w:r>
              <w:rPr>
                <w:rFonts w:ascii="宋体" w:hAnsi="宋体" w:cs="宋体"/>
                <w:color w:val="000000"/>
                <w:sz w:val="22"/>
              </w:rPr>
              <w:t xml:space="preserve"> </w:t>
            </w:r>
            <w:r>
              <w:rPr>
                <w:rFonts w:ascii="宋体" w:hAnsi="宋体" w:cs="宋体"/>
                <w:color w:val="000000"/>
                <w:sz w:val="22"/>
              </w:rPr>
              <w:t>20210101</w:t>
            </w:r>
          </w:p>
        </w:tc>
      </w:tr>
    </w:tbl>
    <w:p w:rsidR="002876FB">
      <w:pPr>
        <w:rPr>
          <w:rFonts w:ascii="宋体" w:hAnsi="宋体" w:cs="宋体"/>
          <w:color w:val="000000"/>
          <w:sz w:val="10"/>
          <w:szCs w:val="10"/>
        </w:rPr>
      </w:pPr>
    </w:p>
    <w:tbl>
      <w:tblPr>
        <w:tblW w:w="8522" w:type="dxa"/>
        <w:tblLayout w:type="fixed"/>
        <w:tblLook w:val="04A0"/>
      </w:tblPr>
      <w:tblGrid>
        <w:gridCol w:w="4261"/>
        <w:gridCol w:w="4261"/>
      </w:tblGrid>
      <w:tr>
        <w:tblPrEx>
          <w:tblW w:w="8522" w:type="dxa"/>
          <w:tblLayout w:type="fixed"/>
          <w:tblLook w:val="04A0"/>
        </w:tblPrEx>
        <w:trPr>
          <w:trHeight w:val="4540"/>
        </w:trPr>
        <w:tc>
          <w:tcPr>
            <w:tcW w:w="4261" w:type="dxa"/>
            <w:shd w:val="clear" w:color="auto" w:fill="auto"/>
          </w:tcPr>
          <w:p w:rsidR="002876FB">
            <w:pPr>
              <w:rPr>
                <w:rFonts w:ascii="宋体" w:hAnsi="宋体" w:cs="宋体"/>
                <w:color w:val="000000"/>
                <w:sz w:val="22"/>
              </w:rPr>
            </w:pPr>
            <w:r>
              <w:rPr>
                <w:rFonts w:ascii="宋体" w:hAnsi="宋体" w:cs="宋体"/>
                <w:b/>
                <w:color w:val="000000"/>
                <w:sz w:val="22"/>
              </w:rPr>
              <w:t>（21）申请号</w:t>
            </w:r>
            <w:r>
              <w:rPr>
                <w:rFonts w:ascii="宋体" w:hAnsi="宋体" w:cs="宋体"/>
                <w:color w:val="000000"/>
                <w:sz w:val="22"/>
              </w:rPr>
              <w:t xml:space="preserve"> </w:t>
            </w:r>
            <w:r>
              <w:rPr>
                <w:rFonts w:ascii="宋体" w:hAnsi="宋体" w:cs="宋体"/>
                <w:color w:val="000000"/>
                <w:sz w:val="22"/>
              </w:rPr>
              <w:t>CN202021018290.X</w:t>
            </w:r>
          </w:p>
          <w:p w:rsidR="002876FB">
            <w:pPr>
              <w:rPr>
                <w:rFonts w:ascii="宋体" w:hAnsi="宋体" w:cs="宋体"/>
                <w:color w:val="000000"/>
                <w:sz w:val="22"/>
              </w:rPr>
            </w:pPr>
          </w:p>
          <w:p w:rsidR="002876FB">
            <w:pPr>
              <w:rPr>
                <w:rFonts w:ascii="宋体" w:hAnsi="宋体" w:cs="宋体"/>
                <w:color w:val="000000"/>
                <w:sz w:val="22"/>
              </w:rPr>
            </w:pPr>
            <w:r>
              <w:rPr>
                <w:rFonts w:ascii="宋体" w:hAnsi="宋体" w:cs="宋体"/>
                <w:b/>
                <w:color w:val="000000"/>
                <w:sz w:val="22"/>
              </w:rPr>
              <w:t>（22）申请日</w:t>
            </w:r>
            <w:r>
              <w:rPr>
                <w:rFonts w:ascii="宋体" w:hAnsi="宋体" w:cs="宋体"/>
                <w:color w:val="000000"/>
                <w:sz w:val="22"/>
              </w:rPr>
              <w:t xml:space="preserve"> </w:t>
            </w:r>
            <w:r>
              <w:rPr>
                <w:rFonts w:ascii="宋体" w:hAnsi="宋体" w:cs="宋体"/>
                <w:color w:val="000000"/>
                <w:sz w:val="22"/>
              </w:rPr>
              <w:t>20200605</w:t>
            </w:r>
          </w:p>
          <w:p w:rsidR="002876FB">
            <w:pPr>
              <w:rPr>
                <w:rFonts w:ascii="宋体" w:hAnsi="宋体" w:cs="宋体"/>
                <w:color w:val="000000"/>
                <w:sz w:val="22"/>
              </w:rPr>
            </w:pPr>
          </w:p>
          <w:p w:rsidR="002876FB">
            <w:pPr>
              <w:rPr>
                <w:rFonts w:ascii="宋体" w:hAnsi="宋体" w:cs="宋体"/>
                <w:color w:val="000000"/>
                <w:sz w:val="22"/>
              </w:rPr>
            </w:pPr>
            <w:r>
              <w:rPr>
                <w:rFonts w:ascii="宋体" w:hAnsi="宋体" w:cs="宋体"/>
                <w:b/>
                <w:color w:val="000000"/>
                <w:sz w:val="22"/>
              </w:rPr>
              <w:t>（73）专利权人</w:t>
            </w:r>
            <w:r>
              <w:rPr>
                <w:rFonts w:ascii="宋体" w:hAnsi="宋体" w:cs="宋体"/>
                <w:color w:val="000000"/>
                <w:sz w:val="22"/>
              </w:rPr>
              <w:t xml:space="preserve"> </w:t>
            </w:r>
            <w:r>
              <w:rPr>
                <w:rFonts w:ascii="宋体" w:hAnsi="宋体" w:cs="宋体"/>
                <w:color w:val="000000"/>
                <w:sz w:val="22"/>
              </w:rPr>
              <w:t>[深圳大学]</w:t>
            </w:r>
          </w:p>
          <w:p w:rsidR="002876FB">
            <w:pPr>
              <w:rPr>
                <w:rFonts w:ascii="宋体" w:hAnsi="宋体" w:cs="宋体"/>
                <w:color w:val="000000"/>
                <w:sz w:val="22"/>
              </w:rPr>
            </w:pPr>
          </w:p>
          <w:p w:rsidR="002876FB">
            <w:pPr>
              <w:ind w:firstLine="480" w:firstLineChars="200"/>
              <w:rPr>
                <w:rFonts w:ascii="宋体" w:hAnsi="宋体" w:cs="宋体"/>
                <w:color w:val="000000"/>
                <w:sz w:val="22"/>
              </w:rPr>
            </w:pPr>
            <w:r>
              <w:rPr>
                <w:rFonts w:ascii="宋体" w:hAnsi="宋体" w:cs="宋体"/>
                <w:b/>
                <w:color w:val="000000"/>
                <w:sz w:val="22"/>
              </w:rPr>
              <w:t>地址</w:t>
            </w:r>
            <w:r>
              <w:rPr>
                <w:rFonts w:ascii="宋体" w:hAnsi="宋体" w:cs="宋体"/>
                <w:color w:val="000000"/>
                <w:sz w:val="22"/>
              </w:rPr>
              <w:t xml:space="preserve"> </w:t>
            </w:r>
            <w:r>
              <w:rPr>
                <w:rFonts w:ascii="宋体" w:hAnsi="宋体" w:cs="宋体"/>
                <w:color w:val="000000"/>
                <w:sz w:val="22"/>
              </w:rPr>
              <w:t>广东省深圳市南山区南海大道3688号</w:t>
            </w:r>
          </w:p>
          <w:p w:rsidR="002876FB">
            <w:pPr>
              <w:ind w:firstLine="480" w:firstLineChars="200"/>
              <w:rPr>
                <w:rFonts w:ascii="宋体" w:hAnsi="宋体" w:cs="宋体"/>
                <w:color w:val="000000"/>
                <w:sz w:val="22"/>
              </w:rPr>
            </w:pPr>
          </w:p>
          <w:p w:rsidR="002876FB">
            <w:pPr>
              <w:rPr>
                <w:rFonts w:ascii="宋体" w:hAnsi="宋体" w:cs="宋体"/>
                <w:color w:val="000000"/>
                <w:sz w:val="22"/>
              </w:rPr>
            </w:pPr>
            <w:r>
              <w:rPr>
                <w:rFonts w:ascii="宋体" w:hAnsi="宋体" w:cs="宋体" w:hint="eastAsia"/>
                <w:b/>
                <w:color w:val="000000"/>
                <w:sz w:val="22"/>
              </w:rPr>
              <w:t xml:space="preserve">（72）发明人 </w:t>
            </w:r>
            <w:r>
              <w:rPr>
                <w:rFonts w:ascii="宋体" w:hAnsi="宋体" w:cs="宋体"/>
                <w:color w:val="000000"/>
                <w:sz w:val="22"/>
              </w:rPr>
              <w:t>[谢和平, 高明忠, 陈领, 李聪, 吴年汉, 李佳南, 何志强, 杨明庆, 胡云起, 刘贵康]</w:t>
            </w:r>
          </w:p>
          <w:p w:rsidR="002876FB">
            <w:pPr>
              <w:rPr>
                <w:rFonts w:ascii="宋体" w:hAnsi="宋体" w:cs="宋体"/>
                <w:b/>
                <w:color w:val="000000"/>
                <w:sz w:val="22"/>
              </w:rPr>
            </w:pPr>
          </w:p>
          <w:p w:rsidR="002876FB">
            <w:pPr>
              <w:rPr>
                <w:rFonts w:ascii="宋体" w:hAnsi="宋体" w:cs="宋体"/>
                <w:color w:val="000000"/>
                <w:sz w:val="22"/>
              </w:rPr>
            </w:pPr>
            <w:r>
              <w:rPr>
                <w:rFonts w:ascii="宋体" w:hAnsi="宋体" w:cs="宋体" w:hint="eastAsia"/>
                <w:b/>
                <w:color w:val="000000"/>
                <w:sz w:val="22"/>
              </w:rPr>
              <w:t xml:space="preserve">（74）专利代理机构 </w:t>
            </w:r>
            <w:r>
              <w:rPr>
                <w:rFonts w:ascii="宋体" w:hAnsi="宋体" w:cs="宋体"/>
                <w:color w:val="000000"/>
                <w:sz w:val="22"/>
              </w:rPr>
              <w:t>成都熠邦鼎立专利代理有限公司</w:t>
            </w:r>
          </w:p>
          <w:p w:rsidR="002876FB">
            <w:pPr>
              <w:rPr>
                <w:rFonts w:ascii="宋体" w:hAnsi="宋体" w:cs="宋体"/>
                <w:b/>
                <w:color w:val="000000"/>
                <w:sz w:val="22"/>
              </w:rPr>
            </w:pPr>
          </w:p>
          <w:p w:rsidR="002876FB">
            <w:pPr>
              <w:rPr>
                <w:rFonts w:ascii="宋体" w:hAnsi="宋体" w:cs="宋体"/>
                <w:color w:val="000000"/>
                <w:sz w:val="22"/>
              </w:rPr>
            </w:pPr>
            <w:r>
              <w:rPr>
                <w:rFonts w:ascii="宋体" w:hAnsi="宋体" w:cs="宋体" w:hint="eastAsia"/>
                <w:b/>
                <w:color w:val="000000"/>
                <w:sz w:val="22"/>
              </w:rPr>
              <w:t xml:space="preserve">      代理人 </w:t>
            </w:r>
            <w:r>
              <w:rPr>
                <w:rFonts w:ascii="宋体" w:hAnsi="宋体" w:cs="宋体"/>
                <w:color w:val="000000"/>
                <w:sz w:val="22"/>
              </w:rPr>
              <w:t>[李晓英]</w:t>
            </w:r>
          </w:p>
        </w:tc>
        <w:tc>
          <w:tcPr>
            <w:tcW w:w="4261" w:type="dxa"/>
            <w:shd w:val="clear" w:color="auto" w:fill="auto"/>
          </w:tcPr>
          <w:p w:rsidR="002876FB">
            <w:pPr>
              <w:rPr>
                <w:rFonts w:ascii="宋体" w:hAnsi="宋体" w:cs="宋体"/>
                <w:color w:val="000000"/>
                <w:sz w:val="22"/>
              </w:rPr>
            </w:pPr>
          </w:p>
        </w:tc>
      </w:tr>
      <w:tr>
        <w:tblPrEx>
          <w:tblW w:w="8522" w:type="dxa"/>
          <w:tblLayout w:type="fixed"/>
          <w:tblLook w:val="04A0"/>
        </w:tblPrEx>
        <w:trPr>
          <w:trHeight w:val="938"/>
        </w:trPr>
        <w:tc>
          <w:tcPr>
            <w:tcW w:w="4261" w:type="dxa"/>
            <w:tcBorders>
              <w:top w:val="single" w:sz="12" w:space="0" w:color="auto"/>
            </w:tcBorders>
            <w:shd w:val="clear" w:color="auto" w:fill="auto"/>
          </w:tcPr>
          <w:p w:rsidR="002876FB">
            <w:pPr>
              <w:rPr>
                <w:rFonts w:ascii="宋体" w:hAnsi="宋体" w:cs="宋体"/>
                <w:color w:val="000000"/>
                <w:sz w:val="22"/>
              </w:rPr>
            </w:pPr>
            <w:r>
              <w:rPr>
                <w:rFonts w:ascii="宋体" w:hAnsi="宋体" w:cs="宋体"/>
                <w:b/>
                <w:color w:val="000000"/>
                <w:sz w:val="22"/>
              </w:rPr>
              <w:t>（54）实用新型名称</w:t>
            </w:r>
          </w:p>
          <w:p w:rsidR="002876FB">
            <w:pPr>
              <w:rPr>
                <w:rFonts w:ascii="宋体" w:hAnsi="宋体" w:cs="宋体"/>
                <w:color w:val="000000"/>
                <w:sz w:val="22"/>
              </w:rPr>
            </w:pPr>
            <w:r>
              <w:rPr>
                <w:rFonts w:ascii="宋体" w:hAnsi="宋体" w:cs="宋体" w:hint="eastAsia"/>
                <w:b/>
                <w:color w:val="000000"/>
                <w:sz w:val="22"/>
              </w:rPr>
              <w:t xml:space="preserve">     </w:t>
            </w:r>
            <w:r>
              <w:rPr>
                <w:rFonts w:ascii="宋体" w:hAnsi="宋体" w:cs="宋体"/>
                <w:color w:val="000000"/>
                <w:sz w:val="22"/>
              </w:rPr>
              <w:t>分体式保真取芯器压力加载实验结构</w:t>
            </w:r>
          </w:p>
        </w:tc>
        <w:tc>
          <w:tcPr>
            <w:tcW w:w="4261" w:type="dxa"/>
            <w:vMerge w:val="restart"/>
            <w:tcBorders>
              <w:top w:val="single" w:sz="12" w:space="0" w:color="auto"/>
            </w:tcBorders>
            <w:shd w:val="clear" w:color="auto" w:fill="auto"/>
          </w:tcPr>
          <w:p w:rsidR="002876FB">
            <w:pPr>
              <w:rPr>
                <w:rFonts w:ascii="宋体" w:hAnsi="宋体" w:cs="宋体"/>
                <w:color w:val="000000"/>
                <w:sz w:val="22"/>
              </w:rPr>
            </w:pPr>
          </w:p>
          <w:p w:rsidR="002876FB">
            <w:pPr>
              <w:rPr>
                <w:rFonts w:ascii="宋体" w:hAnsi="宋体" w:cs="宋体"/>
                <w:color w:val="000000"/>
                <w:sz w:val="22"/>
              </w:rPr>
            </w:pPr>
            <w:r>
              <w:rPr>
                <w:rFonts w:ascii="宋体" w:hAnsi="宋体" w:cs="宋体"/>
                <w:color w:val="00000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height:884.25pt;width:187.5pt">
                  <v:imagedata r:id="rId8" o:title=""/>
                </v:shape>
              </w:pict>
            </w:r>
          </w:p>
        </w:tc>
      </w:tr>
      <w:tr>
        <w:tblPrEx>
          <w:tblW w:w="8522" w:type="dxa"/>
          <w:tblLayout w:type="fixed"/>
          <w:tblLook w:val="04A0"/>
        </w:tblPrEx>
        <w:trPr>
          <w:trHeight w:val="5384"/>
        </w:trPr>
        <w:tc>
          <w:tcPr>
            <w:tcW w:w="4261" w:type="dxa"/>
            <w:shd w:val="clear" w:color="auto" w:fill="auto"/>
          </w:tcPr>
          <w:p w:rsidR="002876FB">
            <w:pPr>
              <w:rPr>
                <w:rFonts w:ascii="宋体" w:hAnsi="宋体" w:cs="宋体"/>
                <w:color w:val="000000"/>
                <w:sz w:val="22"/>
              </w:rPr>
            </w:pPr>
            <w:r>
              <w:rPr>
                <w:rFonts w:ascii="宋体" w:hAnsi="宋体" w:cs="宋体" w:hint="eastAsia"/>
                <w:b/>
                <w:color w:val="000000"/>
                <w:sz w:val="22"/>
              </w:rPr>
              <w:t>（57）摘要</w:t>
            </w:r>
          </w:p>
          <w:p w:rsidR="002876FB">
            <w:pPr>
              <w:rPr>
                <w:rFonts w:ascii="宋体" w:hAnsi="宋体" w:cs="宋体"/>
                <w:color w:val="000000"/>
                <w:sz w:val="22"/>
              </w:rPr>
            </w:pPr>
            <w:r>
              <w:rPr>
                <w:rFonts w:ascii="宋体" w:hAnsi="宋体" w:cs="宋体" w:hint="eastAsia"/>
                <w:color w:val="000000"/>
                <w:sz w:val="22"/>
              </w:rPr>
              <w:t xml:space="preserve">     </w:t>
            </w:r>
            <w:r>
              <w:rPr>
                <w:rFonts w:ascii="宋体" w:hAnsi="宋体" w:cs="宋体"/>
                <w:color w:val="000000"/>
                <w:sz w:val="22"/>
              </w:rPr>
              <w:t>本实用新型涉及分体式保真取芯器压力加载实验结构，属于取芯装置试验系统技术领域，包括用于模拟保真取芯器保真舱的压力实验舱，压力实验舱的舱体外筒包括第一试验件、第二试验件和中间连接件，第二试验件位于第一试验件下方，中间连接件将第一试验件和第二试验件衔接在一起，所述中间连接件的筒壁上设有液体注入孔；液体注入孔为螺纹孔。本实用新型利用中间连接件来衔接保压实验舱的上端和下端，可还原试验件的压力环境，使得测试结果更加真实；本实用新型通过增加螺纹连接转换器来实现加压中间件与不同规格的保压实验舱的衔接，提高了加压中间件的通用性，可降低实验成本。</w:t>
            </w:r>
          </w:p>
        </w:tc>
        <w:tc>
          <w:tcPr>
            <w:tcW w:w="4261" w:type="dxa"/>
            <w:vMerge/>
            <w:shd w:val="clear" w:color="auto" w:fill="auto"/>
          </w:tcPr>
          <w:p w:rsidR="002876FB">
            <w:pPr>
              <w:rPr>
                <w:rFonts w:ascii="宋体" w:hAnsi="宋体" w:cs="宋体"/>
                <w:color w:val="000000"/>
                <w:sz w:val="22"/>
              </w:rPr>
            </w:pPr>
          </w:p>
        </w:tc>
      </w:tr>
    </w:tbl>
    <w:p w:rsidR="002876FB">
      <w:pPr>
        <w:rPr>
          <w:rFonts w:ascii="宋体" w:hAnsi="宋体" w:cs="宋体"/>
          <w:b/>
          <w:color w:val="000000"/>
          <w:sz w:val="32"/>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tblPrEx>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8522" w:type="dxa"/>
            <w:tcBorders>
              <w:top w:val="nil"/>
              <w:left w:val="nil"/>
              <w:bottom w:val="single" w:sz="12" w:space="0" w:color="auto"/>
              <w:right w:val="nil"/>
            </w:tcBorders>
          </w:tcPr>
          <w:p w:rsidR="002876FB">
            <w:pPr>
              <w:jc w:val="center"/>
              <w:rPr>
                <w:rFonts w:ascii="宋体" w:hAnsi="宋体" w:cs="宋体"/>
                <w:b/>
                <w:color w:val="000000"/>
                <w:sz w:val="32"/>
              </w:rPr>
            </w:pPr>
            <w:r>
              <w:rPr>
                <w:rFonts w:ascii="宋体" w:hAnsi="宋体" w:cs="宋体" w:hint="eastAsia"/>
                <w:b/>
                <w:color w:val="000000"/>
                <w:sz w:val="32"/>
              </w:rPr>
              <w:t>权 利 要 求 书</w:t>
            </w:r>
          </w:p>
        </w:tc>
      </w:tr>
    </w:tbl>
    <w:p w:rsidR="002876FB">
      <w:pPr>
        <w:ind w:firstLine="480" w:firstLineChars="200"/>
        <w:rPr>
          <w:rFonts w:ascii="宋体" w:hAnsi="宋体" w:cs="宋体"/>
          <w:b/>
          <w:color w:val="000000"/>
          <w:sz w:val="32"/>
        </w:rPr>
      </w:pPr>
      <w:r>
        <w:rPr>
          <w:rFonts w:ascii="宋体" w:hAnsi="宋体" w:cs="宋体"/>
          <w:color w:val="000000"/>
          <w:sz w:val="22"/>
          <w:szCs w:val="22"/>
        </w:rPr>
        <w:t>1.分体式保真取芯器压力加载实验结构，包括用于模拟保真取芯器保真舱的压力实验舱，其特征在于：压力实验舱的舱体外筒包括第一试验件、第二试验件和中间连接件，第二试验件位于第一试验件下方，中间连接件将第一试验件和第二试验件衔接在一起，所述中间连接件的筒壁上设有液体注入孔。</w:t>
      </w:r>
    </w:p>
    <w:p>
      <w:pPr>
        <w:ind w:firstLine="480" w:firstLineChars="200"/>
        <w:rPr>
          <w:rFonts w:ascii="宋体" w:hAnsi="宋体" w:cs="宋体"/>
          <w:color w:val="000000"/>
          <w:sz w:val="22"/>
          <w:szCs w:val="22"/>
        </w:rPr>
      </w:pPr>
      <w:r>
        <w:rPr>
          <w:rFonts w:ascii="宋体" w:hAnsi="宋体" w:cs="宋体"/>
          <w:color w:val="000000"/>
          <w:sz w:val="22"/>
          <w:szCs w:val="22"/>
        </w:rPr>
        <w:t>2.根据权利要求1所述的分体式保真取芯器压力加载实验结构，其特征在于：液体注入孔为螺纹孔。</w:t>
      </w:r>
    </w:p>
    <w:p>
      <w:pPr>
        <w:ind w:firstLine="480" w:firstLineChars="200"/>
        <w:rPr>
          <w:rFonts w:ascii="宋体" w:hAnsi="宋体" w:cs="宋体"/>
          <w:color w:val="000000"/>
          <w:sz w:val="22"/>
          <w:szCs w:val="22"/>
        </w:rPr>
      </w:pPr>
      <w:r>
        <w:rPr>
          <w:rFonts w:ascii="宋体" w:hAnsi="宋体" w:cs="宋体"/>
          <w:color w:val="000000"/>
          <w:sz w:val="22"/>
          <w:szCs w:val="22"/>
        </w:rPr>
        <w:t>3.根据权利要求1所述的分体式保真取芯器压力加载实验结构，其特征在于：中间连接件与第一试验件和第二试验件螺纹连接。</w:t>
      </w:r>
    </w:p>
    <w:p>
      <w:pPr>
        <w:ind w:firstLine="480" w:firstLineChars="200"/>
        <w:rPr>
          <w:rFonts w:ascii="宋体" w:hAnsi="宋体" w:cs="宋体"/>
          <w:color w:val="000000"/>
          <w:sz w:val="22"/>
          <w:szCs w:val="22"/>
        </w:rPr>
      </w:pPr>
      <w:r>
        <w:rPr>
          <w:rFonts w:ascii="宋体" w:hAnsi="宋体" w:cs="宋体"/>
          <w:color w:val="000000"/>
          <w:sz w:val="22"/>
          <w:szCs w:val="22"/>
        </w:rPr>
        <w:t>4.根据权利要求1所述的分体式保真取芯器压力加载实验结构，其特征在于：所述中间连接件的端部通过内螺纹与第一试验件和第二试验件连接。</w:t>
      </w:r>
    </w:p>
    <w:p>
      <w:pPr>
        <w:ind w:firstLine="480" w:firstLineChars="200"/>
        <w:rPr>
          <w:rFonts w:ascii="宋体" w:hAnsi="宋体" w:cs="宋体"/>
          <w:color w:val="000000"/>
          <w:sz w:val="22"/>
          <w:szCs w:val="22"/>
        </w:rPr>
      </w:pPr>
      <w:r>
        <w:rPr>
          <w:rFonts w:ascii="宋体" w:hAnsi="宋体" w:cs="宋体"/>
          <w:color w:val="000000"/>
          <w:sz w:val="22"/>
          <w:szCs w:val="22"/>
        </w:rPr>
        <w:t>5.根据权利要求1所述的分体式保真取芯器压力加载实验结构，其特征在于：所述第二试验件中安装有用于实现压力实验舱下端密封关闭的翻板阀；翻板阀包括阀座、阀瓣和弹性件，阀瓣一端与阀座上端外侧壁活动连接，阀座顶部有与阀瓣匹配的阀口密封面。</w:t>
      </w:r>
    </w:p>
    <w:p>
      <w:pPr>
        <w:ind w:firstLine="480" w:firstLineChars="200"/>
        <w:rPr>
          <w:rFonts w:ascii="宋体" w:hAnsi="宋体" w:cs="宋体"/>
          <w:color w:val="000000"/>
          <w:sz w:val="22"/>
          <w:szCs w:val="22"/>
        </w:rPr>
      </w:pPr>
      <w:r>
        <w:rPr>
          <w:rFonts w:ascii="宋体" w:hAnsi="宋体" w:cs="宋体"/>
          <w:color w:val="000000"/>
          <w:sz w:val="22"/>
          <w:szCs w:val="22"/>
        </w:rPr>
        <w:t>6.根据权利要求5所述的分体式保真取芯器压力加载实验结构，其特征在于：所述压力实验舱还包括中心杆和岩心筒，中心杆下端伸进岩心筒内，中心杆下端有外台阶，岩心筒上端有与所述外台阶适配的内台阶，当向上提升中心杆至所述外台阶与内台阶相抵时，中心杆可带动岩心筒同步向上移动；</w:t>
      </w:r>
    </w:p>
    <w:p>
      <w:pPr>
        <w:ind w:firstLine="480" w:firstLineChars="200"/>
        <w:rPr>
          <w:rFonts w:ascii="宋体" w:hAnsi="宋体" w:cs="宋体"/>
          <w:color w:val="000000"/>
          <w:sz w:val="22"/>
          <w:szCs w:val="22"/>
        </w:rPr>
      </w:pPr>
      <w:r>
        <w:rPr>
          <w:rFonts w:ascii="宋体" w:hAnsi="宋体" w:cs="宋体"/>
          <w:color w:val="000000"/>
          <w:sz w:val="22"/>
          <w:szCs w:val="22"/>
        </w:rPr>
        <w:t>当岩心筒位于阀座中时，阀瓣开启90°且位于岩心筒与第二试验件之间；当通过中心杆将岩心筒向上提升至一定高度时，阀瓣在弹性件及重力作用下回到阀座顶面与阀口密封面密封接触；</w:t>
      </w:r>
    </w:p>
    <w:p>
      <w:pPr>
        <w:ind w:firstLine="480" w:firstLineChars="200"/>
        <w:rPr>
          <w:rFonts w:ascii="宋体" w:hAnsi="宋体" w:cs="宋体"/>
          <w:color w:val="000000"/>
          <w:sz w:val="22"/>
          <w:szCs w:val="22"/>
        </w:rPr>
      </w:pPr>
      <w:r>
        <w:rPr>
          <w:rFonts w:ascii="宋体" w:hAnsi="宋体" w:cs="宋体"/>
          <w:color w:val="000000"/>
          <w:sz w:val="22"/>
          <w:szCs w:val="22"/>
        </w:rPr>
        <w:t>当中心杆提升至行程终点时，岩心筒上端外壁与第一试验件内壁间密封配合。</w:t>
      </w:r>
    </w:p>
    <w:p>
      <w:pPr>
        <w:ind w:firstLine="480" w:firstLineChars="200"/>
        <w:rPr>
          <w:rFonts w:ascii="宋体" w:hAnsi="宋体" w:cs="宋体"/>
          <w:color w:val="000000"/>
          <w:sz w:val="22"/>
          <w:szCs w:val="22"/>
        </w:rPr>
      </w:pPr>
      <w:r>
        <w:rPr>
          <w:rFonts w:ascii="宋体" w:hAnsi="宋体" w:cs="宋体"/>
          <w:color w:val="000000"/>
          <w:sz w:val="22"/>
          <w:szCs w:val="22"/>
        </w:rPr>
        <w:t>7.根据权利要求6所述的分体式保真取芯器压力加载实验结构，其特征在于：所述压力实验舱还包括触发机构，触发机构包括触发内筒、触发块和触发弹簧，触发内筒侧壁上设有通孔，触发块放置于通孔中，岩芯筒底部外侧壁有与触发块适配的凸起部；第二试验件内壁有与触发块适配的避让口，触发块位于所述阀瓣上方，避让口位于触发块上方；</w:t>
      </w:r>
    </w:p>
    <w:p>
      <w:pPr>
        <w:ind w:firstLine="480" w:firstLineChars="200"/>
        <w:rPr>
          <w:rFonts w:ascii="宋体" w:hAnsi="宋体" w:cs="宋体"/>
          <w:color w:val="000000"/>
          <w:sz w:val="22"/>
          <w:szCs w:val="22"/>
        </w:rPr>
      </w:pPr>
      <w:r>
        <w:rPr>
          <w:rFonts w:ascii="宋体" w:hAnsi="宋体" w:cs="宋体"/>
          <w:color w:val="000000"/>
          <w:sz w:val="22"/>
          <w:szCs w:val="22"/>
        </w:rPr>
        <w:t>所述触发弹簧套在触发内筒外，所述触发内筒外壁设有台肩，触发弹簧压缩在台肩与第二试验件内壁台阶面之间，触发弹簧位于触发块上方；</w:t>
      </w:r>
    </w:p>
    <w:p>
      <w:pPr>
        <w:ind w:firstLine="480" w:firstLineChars="200"/>
        <w:rPr>
          <w:rFonts w:ascii="宋体" w:hAnsi="宋体" w:cs="宋体"/>
          <w:color w:val="000000"/>
          <w:sz w:val="22"/>
          <w:szCs w:val="22"/>
        </w:rPr>
      </w:pPr>
      <w:r>
        <w:rPr>
          <w:rFonts w:ascii="宋体" w:hAnsi="宋体" w:cs="宋体"/>
          <w:color w:val="000000"/>
          <w:sz w:val="22"/>
          <w:szCs w:val="22"/>
        </w:rPr>
        <w:t>当岩芯筒位于阀座中时，触发内筒位于岩芯筒与第二试验件之间，触发内筒下端与阀座止口配合，触发块外凸于触发内筒的内侧壁；</w:t>
      </w:r>
    </w:p>
    <w:p>
      <w:pPr>
        <w:ind w:firstLine="480" w:firstLineChars="200"/>
        <w:rPr>
          <w:rFonts w:ascii="宋体" w:hAnsi="宋体" w:cs="宋体"/>
          <w:color w:val="000000"/>
          <w:sz w:val="22"/>
          <w:szCs w:val="22"/>
        </w:rPr>
      </w:pPr>
      <w:r>
        <w:rPr>
          <w:rFonts w:ascii="宋体" w:hAnsi="宋体" w:cs="宋体"/>
          <w:color w:val="000000"/>
          <w:sz w:val="22"/>
          <w:szCs w:val="22"/>
        </w:rPr>
        <w:t>当将岩芯筒向上提升至第一高度时，所述岩芯筒的凸起部抵持住所述触发块，从而可带动触发内筒同步向上移动；</w:t>
      </w:r>
    </w:p>
    <w:p>
      <w:pPr>
        <w:ind w:firstLine="480" w:firstLineChars="200"/>
        <w:rPr>
          <w:rFonts w:ascii="宋体" w:hAnsi="宋体" w:cs="宋体"/>
          <w:color w:val="000000"/>
          <w:sz w:val="22"/>
          <w:szCs w:val="22"/>
        </w:rPr>
      </w:pPr>
      <w:r>
        <w:rPr>
          <w:rFonts w:ascii="宋体" w:hAnsi="宋体" w:cs="宋体"/>
          <w:color w:val="000000"/>
          <w:sz w:val="22"/>
          <w:szCs w:val="22"/>
        </w:rPr>
        <w:t>当将岩芯筒继续向上提升至第二高度时，所述触发块被凸起部推至避让口中，从而使触发块避开凸起部；</w:t>
      </w:r>
    </w:p>
    <w:p>
      <w:pPr>
        <w:ind w:firstLine="480" w:firstLineChars="200"/>
        <w:rPr>
          <w:rFonts w:ascii="宋体" w:hAnsi="宋体" w:cs="宋体"/>
          <w:color w:val="000000"/>
          <w:sz w:val="22"/>
          <w:szCs w:val="22"/>
        </w:rPr>
      </w:pPr>
      <w:r>
        <w:rPr>
          <w:rFonts w:ascii="宋体" w:hAnsi="宋体" w:cs="宋体"/>
          <w:color w:val="000000"/>
          <w:sz w:val="22"/>
          <w:szCs w:val="22"/>
        </w:rPr>
        <w:t>当将岩芯筒继续向上提升至岩芯筒底部越过避让口时，触发块失去岩芯筒的作用力，触发内筒在重力和触发弹簧作用下带动触发块回落压在关闭的阀瓣上。</w:t>
      </w:r>
    </w:p>
    <w:p>
      <w:pPr>
        <w:ind w:firstLine="480" w:firstLineChars="200"/>
        <w:rPr>
          <w:rFonts w:ascii="宋体" w:hAnsi="宋体" w:cs="宋体"/>
          <w:color w:val="000000"/>
          <w:sz w:val="22"/>
          <w:szCs w:val="22"/>
        </w:rPr>
      </w:pPr>
      <w:r>
        <w:rPr>
          <w:rFonts w:ascii="宋体" w:hAnsi="宋体" w:cs="宋体"/>
          <w:color w:val="000000"/>
          <w:sz w:val="22"/>
          <w:szCs w:val="22"/>
        </w:rPr>
        <w:t>8.根据权利要求6或7所述的分体式保真取芯器压力加载实验结构，其特征在于：所述第一试验件内壁有用于轴向限制岩心筒的第一限位台阶，当岩心筒上端面抵在第一限位台阶上时，中心杆提升至行程终点。</w:t>
      </w:r>
    </w:p>
    <w:p>
      <w:pPr>
        <w:ind w:firstLine="480" w:firstLineChars="200"/>
        <w:rPr>
          <w:rFonts w:ascii="宋体" w:hAnsi="宋体" w:cs="宋体"/>
          <w:color w:val="000000"/>
          <w:sz w:val="22"/>
          <w:szCs w:val="22"/>
        </w:rPr>
      </w:pPr>
      <w:r>
        <w:rPr>
          <w:rFonts w:ascii="宋体" w:hAnsi="宋体" w:cs="宋体"/>
          <w:color w:val="000000"/>
          <w:sz w:val="22"/>
          <w:szCs w:val="22"/>
        </w:rPr>
        <w:t>9.根据权利要求1所述的分体式保真取芯器压力加载实验结构，其特征在于：所述中间连接件包括筒状的加压中间件和两个螺纹连接转换器，所述液体注入孔设于加压中间件上，加压中间件通过螺纹连接转换器与第一试验件和第二试验件连接。</w:t>
      </w:r>
    </w:p>
    <w:p>
      <w:pPr>
        <w:ind w:firstLine="480" w:firstLineChars="200"/>
        <w:rPr>
          <w:rFonts w:ascii="宋体" w:hAnsi="宋体" w:cs="宋体"/>
          <w:color w:val="000000"/>
          <w:sz w:val="22"/>
          <w:szCs w:val="22"/>
        </w:rPr>
      </w:pPr>
      <w:r>
        <w:rPr>
          <w:rFonts w:ascii="宋体" w:hAnsi="宋体" w:cs="宋体"/>
          <w:b/>
          <w:color w:val="000000"/>
          <w:sz w:val="32"/>
        </w:rPr>
        <w:br w:type="page"/>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tblPrEx>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8522" w:type="dxa"/>
            <w:tcBorders>
              <w:top w:val="nil"/>
              <w:left w:val="nil"/>
              <w:bottom w:val="single" w:sz="12" w:space="0" w:color="auto"/>
              <w:right w:val="nil"/>
            </w:tcBorders>
          </w:tcPr>
          <w:p w:rsidR="002876FB">
            <w:pPr>
              <w:jc w:val="center"/>
              <w:rPr>
                <w:rFonts w:ascii="宋体" w:hAnsi="宋体" w:cs="宋体"/>
                <w:b/>
                <w:color w:val="000000"/>
                <w:sz w:val="32"/>
              </w:rPr>
            </w:pPr>
            <w:r>
              <w:rPr>
                <w:rFonts w:ascii="宋体" w:hAnsi="宋体" w:cs="宋体" w:hint="eastAsia"/>
                <w:b/>
                <w:color w:val="000000"/>
                <w:sz w:val="32"/>
              </w:rPr>
              <w:t>说 明 书</w:t>
            </w:r>
          </w:p>
        </w:tc>
      </w:tr>
    </w:tbl>
    <w:p w:rsidR="002876FB">
      <w:pPr>
        <w:ind w:firstLine="480" w:firstLineChars="200"/>
        <w:jc w:val="center"/>
        <w:rPr>
          <w:rFonts w:ascii="宋体" w:hAnsi="宋体" w:cs="宋体"/>
          <w:color w:val="000000"/>
          <w:sz w:val="22"/>
          <w:szCs w:val="22"/>
        </w:rPr>
      </w:pPr>
      <w:r>
        <w:rPr>
          <w:rFonts w:ascii="宋体" w:eastAsia="宋体" w:hAnsi="宋体" w:cs="宋体"/>
          <w:b/>
          <w:color w:val="000000"/>
          <w:sz w:val="26"/>
          <w:szCs w:val="22"/>
        </w:rPr>
        <w:t>分体式保真取芯器压力加载实验结构</w:t>
      </w:r>
    </w:p>
    <w:p>
      <w:pPr>
        <w:ind w:firstLine="480" w:firstLineChars="200"/>
        <w:jc w:val="both"/>
        <w:rPr>
          <w:rFonts w:ascii="宋体" w:eastAsia="宋体" w:hAnsi="宋体" w:cs="宋体"/>
          <w:b/>
          <w:color w:val="000000"/>
          <w:sz w:val="26"/>
          <w:szCs w:val="22"/>
        </w:rPr>
      </w:pPr>
      <w:r>
        <w:rPr>
          <w:rFonts w:ascii="宋体" w:eastAsia="宋体" w:hAnsi="宋体" w:cs="宋体"/>
          <w:b/>
          <w:color w:val="000000"/>
          <w:sz w:val="22"/>
          <w:szCs w:val="22"/>
        </w:rPr>
        <w:t>技术领域</w:t>
      </w:r>
    </w:p>
    <w:p>
      <w:pPr>
        <w:ind w:firstLine="480" w:firstLineChars="200"/>
        <w:jc w:val="both"/>
        <w:rPr>
          <w:rFonts w:ascii="宋体" w:eastAsia="宋体" w:hAnsi="宋体" w:cs="宋体"/>
          <w:b/>
          <w:color w:val="000000"/>
          <w:sz w:val="22"/>
          <w:szCs w:val="22"/>
        </w:rPr>
      </w:pPr>
      <w:r>
        <w:rPr>
          <w:rFonts w:ascii="宋体" w:eastAsia="宋体" w:hAnsi="宋体" w:cs="宋体"/>
          <w:b w:val="0"/>
          <w:color w:val="000000"/>
          <w:sz w:val="22"/>
          <w:szCs w:val="22"/>
        </w:rPr>
        <w:t>本实用新型涉及取芯装置试验系统技术领域，尤其涉及分体式保真取芯器压力加载实验结构。</w:t>
      </w:r>
    </w:p>
    <w:p>
      <w:pPr>
        <w:ind w:firstLine="480" w:firstLineChars="200"/>
        <w:jc w:val="both"/>
        <w:rPr>
          <w:rFonts w:ascii="宋体" w:eastAsia="宋体" w:hAnsi="宋体" w:cs="宋体"/>
          <w:b w:val="0"/>
          <w:color w:val="000000"/>
          <w:sz w:val="22"/>
          <w:szCs w:val="22"/>
        </w:rPr>
      </w:pPr>
      <w:r>
        <w:rPr>
          <w:rFonts w:ascii="宋体" w:eastAsia="宋体" w:hAnsi="宋体" w:cs="宋体"/>
          <w:b/>
          <w:color w:val="000000"/>
          <w:sz w:val="22"/>
          <w:szCs w:val="22"/>
        </w:rPr>
        <w:t>背景技术</w:t>
      </w:r>
    </w:p>
    <w:p>
      <w:pPr>
        <w:ind w:firstLine="480" w:firstLineChars="200"/>
        <w:jc w:val="both"/>
        <w:rPr>
          <w:rFonts w:ascii="宋体" w:eastAsia="宋体" w:hAnsi="宋体" w:cs="宋体"/>
          <w:b/>
          <w:color w:val="000000"/>
          <w:sz w:val="22"/>
          <w:szCs w:val="22"/>
        </w:rPr>
      </w:pPr>
      <w:r>
        <w:rPr>
          <w:rFonts w:ascii="宋体" w:eastAsia="宋体" w:hAnsi="宋体" w:cs="宋体"/>
          <w:b w:val="0"/>
          <w:color w:val="000000"/>
          <w:sz w:val="22"/>
          <w:szCs w:val="22"/>
        </w:rPr>
        <w:t>地球浅部矿产资源已逐渐枯竭，向地球深部进军是近期和未来我国科技创新的重要方向。不同深部赋存岩层原位岩石力学行为规律是深地钻探、深部资源开发利用、地球应用科学的先导性科学与理论基础。</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深部岩石的物理力学以及化学生物等特性与其所处原位环境条件密切相关，取芯过程的原位环境损失将导致岩芯的理化性质和力学性质失真且不可逆转，其攻关的核心与关键是如何获取深部环境条件下的原位岩芯，并在原位保真状态下进行实时加载测试与分析。</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目前的，原位保真取芯装置，利用钻具钻取岩芯后将岩芯存储在储芯管中，通过与储芯管相连的保压、保温及保湿装置来实现对岩芯原位环境的模拟。在进行岩芯钻取前，需要验证其保压能力，因而保压舱的耐压能力测试平台应运而生。</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保压舱的耐压能力测试平台通常包括保压实验舱、液压系统等，通过液压系统向保压实验舱内注入高压液体来验证保压实验舱的保压性能。现有的保压实验舱通过在筒壁上钻孔来实现与液压管路连接，钻机钻孔会损害保压实验舱，进而使实验结果不可靠。</w:t>
      </w:r>
    </w:p>
    <w:p>
      <w:pPr>
        <w:ind w:firstLine="480" w:firstLineChars="200"/>
        <w:jc w:val="both"/>
        <w:rPr>
          <w:rFonts w:ascii="宋体" w:eastAsia="宋体" w:hAnsi="宋体" w:cs="宋体"/>
          <w:b w:val="0"/>
          <w:color w:val="000000"/>
          <w:sz w:val="22"/>
          <w:szCs w:val="22"/>
        </w:rPr>
      </w:pPr>
      <w:r>
        <w:rPr>
          <w:rFonts w:ascii="宋体" w:eastAsia="宋体" w:hAnsi="宋体" w:cs="宋体"/>
          <w:b/>
          <w:color w:val="000000"/>
          <w:sz w:val="22"/>
          <w:szCs w:val="22"/>
        </w:rPr>
        <w:t>实用新型内容</w:t>
      </w:r>
    </w:p>
    <w:p>
      <w:pPr>
        <w:ind w:firstLine="480" w:firstLineChars="200"/>
        <w:jc w:val="both"/>
        <w:rPr>
          <w:rFonts w:ascii="宋体" w:eastAsia="宋体" w:hAnsi="宋体" w:cs="宋体"/>
          <w:b/>
          <w:color w:val="000000"/>
          <w:sz w:val="22"/>
          <w:szCs w:val="22"/>
        </w:rPr>
      </w:pPr>
      <w:r>
        <w:rPr>
          <w:rFonts w:ascii="宋体" w:eastAsia="宋体" w:hAnsi="宋体" w:cs="宋体"/>
          <w:b w:val="0"/>
          <w:color w:val="000000"/>
          <w:sz w:val="22"/>
          <w:szCs w:val="22"/>
        </w:rPr>
        <w:t>本实用新型旨在提供分体式保真取芯器压力加载实验结构，可避免损害保压实验舱，能使测试结果更加可靠。</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为达到上述目的，本实用新型采用的技术方案如下：</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分体式保真取芯器压力加载实验结构，包括用于模拟保真取芯器保真舱的压力实验舱，压力实验舱的舱体外筒包括第一试验件、第二试验件和中间连接件，第二试验件位于第一试验件下方，中间连接件将第一试验件和第二试验件衔接在一起，所述中间连接件的筒壁上设有液体注入孔。</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其中，液体注入孔为螺纹孔。</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进一步的，中间连接件与第一试验件和第二试验件螺纹连接。</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或者，所述中间连接件的端部通过内螺纹与第一试验件和第二试验件连接。</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进一步的，所述第二试验件中安装有用于实现压力实验舱下端密封关闭的翻板阀；翻板阀包括阀座、阀瓣和弹性件，阀瓣一端与阀座上端外侧壁活动连接，阀座顶部有与阀瓣匹配的阀口密封面。</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进一步的，压力实验舱还包括中心杆和岩心筒，中心杆下端伸进岩心筒内，中心杆下端有外台阶，岩心筒上端有与所述外台阶适配的内台阶，当向上提升中心杆至所述外台阶与内台阶相抵时，中心杆可带动岩心筒同步向上移动；</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当岩心筒位于阀座中时，阀瓣开启90°且位于岩心筒与第二试验件之间；当通过中心杆将岩心筒向上提升至一定高度时，阀瓣在弹性件及重力作用下回到阀座顶面与阀口密封面密封接触；</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当中心杆提升至行程终点时，岩心筒上端外壁与第一试验件内壁间密封配合。</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进一步的，压力实验舱还包括触发机构，触发机构包括触发内筒、触发块和触发弹簧，触发内筒侧壁上设有通孔，触发块放置于通孔中，岩芯筒底部外侧壁有与触发块适配的凸起部；第二试验件内壁有与触发块适配的避让口，触发块位于所述阀瓣上方，避让口位于触发块上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所述触发弹簧套在触发内筒外，所述触发内筒外壁设有台肩，触发弹簧压缩在台肩与第二试验件内壁台阶面之间，触发弹簧位于触发块上方；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当岩芯筒位于阀座中时，触发内筒位于岩芯筒与第二试验件之间，触发内筒下端与阀座止口配合，触发块外凸于触发内筒的内侧壁；</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当将岩芯筒向上提升至第一高度时，所述岩芯筒的凸起部抵持住所述触发块，从而可带动触发内筒同步向上移动；</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当将岩芯筒继续向上提升至第二高度时，所述触发块被凸起部推至避让口中，从而使触发块避开凸起部；</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当将岩芯筒继续向上提升至岩芯筒底部越过避让口时，触发块失去岩芯筒的作用力，触发内筒在重力和触发弹簧作用下带动触发块回落压在关闭的阀瓣上。</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进一步的，所述第一试验件内壁有用于轴向限制岩心筒的第一限位台阶，当岩心筒上端面抵在第一限位台阶上时，中心杆提升至行程终点。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进一步的，所述中间连接件包括筒状的加压中间件和两个螺纹连接转换器，所述液体注入孔设于加压中间件上，加压中间件通过螺纹连接转换器与第一试验件和第二试验件连接。</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与现有技术相比，本实用新型具有以下有益效果：</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1，本实用新型利用中间连接件来衔接保压实验舱的上端和下端，可避免在保压实验舱上钻孔，不会损害保压试验舱，因而可还原试验件的压力环境，使得测试结果更加可靠；</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2，本实用新型通过增加螺纹连接转换器来实现加压中间件与不同规格的保压实验舱的衔接，提高了加压中间件的通用性，可降低实验成本。</w:t>
      </w:r>
    </w:p>
    <w:p>
      <w:pPr>
        <w:ind w:firstLine="480" w:firstLineChars="200"/>
        <w:jc w:val="both"/>
        <w:rPr>
          <w:rFonts w:ascii="宋体" w:eastAsia="宋体" w:hAnsi="宋体" w:cs="宋体"/>
          <w:b w:val="0"/>
          <w:color w:val="000000"/>
          <w:sz w:val="22"/>
          <w:szCs w:val="22"/>
        </w:rPr>
      </w:pPr>
      <w:r>
        <w:rPr>
          <w:rFonts w:ascii="宋体" w:eastAsia="宋体" w:hAnsi="宋体" w:cs="宋体"/>
          <w:b/>
          <w:color w:val="000000"/>
          <w:sz w:val="22"/>
          <w:szCs w:val="22"/>
        </w:rPr>
        <w:t>附图说明</w:t>
      </w:r>
    </w:p>
    <w:p>
      <w:pPr>
        <w:ind w:firstLine="480" w:firstLineChars="200"/>
        <w:jc w:val="both"/>
        <w:rPr>
          <w:rFonts w:ascii="宋体" w:eastAsia="宋体" w:hAnsi="宋体" w:cs="宋体"/>
          <w:b/>
          <w:color w:val="000000"/>
          <w:sz w:val="22"/>
          <w:szCs w:val="22"/>
        </w:rPr>
      </w:pPr>
      <w:r>
        <w:rPr>
          <w:rFonts w:ascii="宋体" w:eastAsia="宋体" w:hAnsi="宋体" w:cs="宋体"/>
          <w:b w:val="0"/>
          <w:color w:val="000000"/>
          <w:sz w:val="22"/>
          <w:szCs w:val="22"/>
        </w:rPr>
        <w:t>图1是本实用新型的结构简图；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图2是中心杆未提升时保压实验舱的结构示意图；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图3是图2中A处的局部放大图；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图4是中心杆提升至行程终点时保压实验舱的结构示意图；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图5是图4中B处的局部放大图；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图6是外筒拆成上下两部分时保压实验舱的示意图；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图7是加压中间件的结构示意图；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图8是中心杆未提升时具体实施方式一的结构示意图；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图9是中心杆提升至行程终点时具体实施方式一的结构示意图；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图10是本实用新型的原理图；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图11是具体实施方式二的结构示意图；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图12是图11中C处的局部放大图；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图13是实施方式三中螺纹连接转换器直径相对较大时中间连接件的结构示意图；</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图14是实施方式三中螺纹连接转换器直径相对较小时中间连接件的结构示意图。</w:t>
      </w:r>
    </w:p>
    <w:p>
      <w:pPr>
        <w:ind w:firstLine="480" w:firstLineChars="200"/>
        <w:jc w:val="both"/>
        <w:rPr>
          <w:rFonts w:ascii="宋体" w:eastAsia="宋体" w:hAnsi="宋体" w:cs="宋体"/>
          <w:b w:val="0"/>
          <w:color w:val="000000"/>
          <w:sz w:val="22"/>
          <w:szCs w:val="22"/>
        </w:rPr>
      </w:pPr>
      <w:r>
        <w:rPr>
          <w:rFonts w:ascii="宋体" w:eastAsia="宋体" w:hAnsi="宋体" w:cs="宋体"/>
          <w:b/>
          <w:color w:val="000000"/>
          <w:sz w:val="22"/>
          <w:szCs w:val="22"/>
        </w:rPr>
        <w:t>具体实施方式</w:t>
      </w:r>
    </w:p>
    <w:p>
      <w:pPr>
        <w:ind w:firstLine="480" w:firstLineChars="200"/>
        <w:jc w:val="both"/>
        <w:rPr>
          <w:rFonts w:ascii="宋体" w:eastAsia="宋体" w:hAnsi="宋体" w:cs="宋体"/>
          <w:b/>
          <w:color w:val="000000"/>
          <w:sz w:val="22"/>
          <w:szCs w:val="22"/>
        </w:rPr>
      </w:pPr>
      <w:r>
        <w:rPr>
          <w:rFonts w:ascii="宋体" w:eastAsia="宋体" w:hAnsi="宋体" w:cs="宋体"/>
          <w:b w:val="0"/>
          <w:color w:val="000000"/>
          <w:sz w:val="22"/>
          <w:szCs w:val="22"/>
        </w:rPr>
        <w:t>为了使本实用新型的目的、技术方案及优点更加清楚明白，以下结合附图，对本实用新型进行进一步详细说明。</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具体实施方式一</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如图1所示，本实用新型公开的分体式保真取芯器压力加载实验结构，包括用于模拟保真取芯器保真舱的压力实验舱，压力实验舱的舱体外筒包括第一试验件11、第二试验件12和中间连接件。第二试验件12位于第一试验件11下方，中间连接件13将第一试验件11和第二试验件12衔接在一起形成一个分体式舱体结构。</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第一试验件11、第二试验件12和中间连接件均为筒状结构，中间连接件的筒壁上设有液体注入孔14，液体注入孔14用于外接液压源，从而可避免在试验件上钻孔，防止对试验件造成损害。为便于与液体管路连接，液体注入孔14为螺纹孔。</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本实施方式中第一试验件11为保压实验舱的外筒上端，第二试验件12为保压实验舱的外筒下端。保压实验舱整体均为试验件。</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如图2-5所示，本实施方式中保压实验舱包括外筒1、中心杆2、岩心筒3和用于实现保压实验舱下端密封关闭的翻板阀5。</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外筒1为由多个螺纹套筒组装形成，用于模拟原位保真取芯装置的钻机外筒。翻板阀5包括阀座51、阀瓣52和弹性件53，阀瓣52一端与阀座51上端外侧壁活动连接，阀座51顶部有与阀瓣52匹配的阀口密封面。弹性件53为弹片或者扭力弹簧。</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中心杆2下端伸进岩心筒3内，中心杆2下端有外台阶23，岩心筒3上端有与外台阶23适配的内台阶32，当向上提升中心杆2至外台阶23与内台阶32相抵时，中心杆2可带动岩心筒3同步向上移动。同时由于外台阶23与内台阶32的相抵持，可实现中心杆2外壁与岩心筒3内壁间在该抵持部位形成密封。</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如图2、6所示，本实施方式中从外筒1的螺纹连接处将保压实验舱的外筒1拆分为第一试验件11和第二试验件12。中间连接件的一端为内螺纹，另一端为外螺纹，以实现与第一试验件11和第二试验件12螺纹连接。</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如图2、3、8所示，初始状态下，岩心筒3位于外筒1下端并位于阀座51中。当岩心筒3位于阀座51中时，阀瓣52开启90°且位于岩心筒3与第二试验件12之间；当通过中心杆2将岩心筒3向上提升至一定高度时，阀瓣52在弹性件53及重力作用下回到阀座51顶面与阀口密封面密封接触，实现阀门的关闭。</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如图4、5、9所示，当中心杆2继续向上提升至行程终点时，岩心筒3上端外壁与第一试验件11内壁间密封配合。</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岩心筒3上端外壁安装两道密封圈22实现与第一试验件11筒壁的密封。此时，又由于中心杆2外壁与岩心筒3内壁间在外台阶23与内台阶32的抵持部位形成密封，从而完成外筒1上端的密封。外筒1下端又由翻板阀5封闭，从而在外筒1内形成一个用于存放岩心的密封空间。</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第一试验件11内壁有用于轴向限制岩心筒3的第一限位台阶16，当岩心筒上端面21抵在第一限位台阶16上时，中心杆2提升至行程终点。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为增加翻板阀5的密封比压，分体式保真取芯器压力加载实验结构还包括触发机构4，触发机构4包括触发内筒41、触发块42和触发弹簧43，触发内筒41侧壁上设有通孔，触发块42放置于通孔中，岩芯筒3底部外侧壁有与触发块42适配的凸起部31；第二试验件12内壁有与触发块42适配的避让口15，触发块42位于阀瓣52上方，避让口15位于触发块42上方。避让口15底部有一引导斜面，该引导斜面便于触发块42从下往上滑入避让口15内，同时也便于触发块42从上往下滑出避让口15。</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触发弹簧43套在触发内筒41外，触发内筒41外壁设有台肩44，触发弹簧43压缩在台肩44与第二试验件12内壁台阶面之间，触发弹簧43位于触发块42上方；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当岩芯筒3位于阀座51中时，触发内筒41位于岩芯筒3与第二试验件12之间，触发内筒41下端与阀座51止口配合，触发块42外凸于触发内筒41的内侧壁；</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当将岩芯筒3向上提升至第一高度时，岩芯筒3的凸起部31抵持住触发块42，从而可带动触发内筒41同步向上移动；</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当将岩芯筒3继续向上提升至第二高度时，触发块42被凸起部31推至避让口15中，从而使触发块42避开凸起部31；</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当将岩芯筒3继续向上提升至岩芯筒3底部越过避让口15时，触发块42失去岩芯筒3的作用力，触发内筒41在重力和触发弹簧43作用下带动触发块42回落压在关闭的阀瓣52上。</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如图6-9所示，本实施方式中中间连接件包括筒状的加压中间件13，液体注入孔14设于加压中间件13上。第一试验件11与第二试验件12通过加压中间件13连接，加压中间件13的两端分别与第一试验件11和第二试验件12螺纹连接。加压中间件13与第一试验件11和第二试验件12间安装有密封圈22，螺纹密封加上密封圈密封可提高密封性能。</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如图10所示，使用时，压力供给系统6通过液体管路将高压液体经加压中间件13筒壁上的液体注入孔14注入保压实验舱内。</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本实施方式公开的压力供给系统6包括液体箱61和变频超高压柱塞泵64，液体箱61的出口通过第一管路与变频超高压柱塞泵64的入口相连，变频超高压柱塞泵64的出口通过第二管路610与高压管62的一端相连，高压管62的另一端与加压中间件13上的液体注入孔14螺纹连接。变频超高压柱塞泵64的进出口分别安装有第一阀门62、第二阀门66。变频超高压柱塞泵64的进口处还安装有液体过滤器63，第二管路610上也安装有液体过滤器63。第二管路610上分出两条排放管，两条排放管分别通过三通与第二管路610，其中一条排放管上安装有第三阀门68，另一条排放管上安装有第四阀门69。第三阀门68与第四阀门69为常闭阀门。变频超高压柱塞泵64配有回油管路，回油管路上安装有第六阀门65。</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为测试中心杆2的提拉以及翻板阀5动作是否可靠，将中心杆2连接驱动机构。驱动机构可选择液压缸或气缸，液压缸或气缸的活塞杆与中心杆2的上端连接。</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本实施方式中用于提升中心杆2的驱动机构选择液压缸7，压力供给系统6还负责给液压缸7提供动力源。液压缸7为双作用液压缸，在变频超高压柱塞泵64的上游接一支管与液压缸7的其中一个油孔连接，变频超高压柱塞泵64的下游接一支管与液压缸7的另一个油孔连接，第二管路610上安装有第五阀门67，第五阀门67位于液压缸7供液支管的下游。通过变频超高压柱塞泵64推拉来控制液压缸7的动作，进而实现中心杆2的提升与复位。</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使用时，关闭第五阀门67，使变频超高压柱塞泵64给液压缸供液体介质，通过液压缸7将中心杆2提升至行程终点，使岩心筒3内壁与中心杆2间密封，岩心筒3外壁与第一试验件11间密封配合，而下端翻板阀5实现外筒1底部的密封关闭，从而使保压实验舱内形成一个密闭的环境；然后，关闭液压缸7的两个油孔处的阀门，使中心杆2保持在上行程终点；</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然后，再打开第五阀门67，通过压力供给系统6向上述密闭环境中注入高压液体，液体箱的中油或水经变频超高压柱塞泵64泵至加压中间件13，经加压中间件13上的液体注入孔14进入外筒1与岩心筒3之间的环空，从而逐步填满整个密闭环境内。</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本实用新型可对保压实验舱进行0-140MPa的连续压力测试，保压指定时间后，系统进行安全泄压，保压指定时间根据实验需要进行设置。这个过程中可监测第一试验件11和第二试验件12筒壁的变形情况，对第一试验件11和第二试验件12筒壁强度设计进行验证，以便从结构上、材料上对保真取芯钻机进行改进。</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本实用新型采用中间连接件来衔接保压实验舱的上端和下端，可避免在保压实验舱上钻孔，防止对保压试验舱造成损害，因而可还原试验件的压力环境，使得测试结果更加可靠。</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具体实施方式二</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本实施方式与实施方式一的区别在于：如图11、12所示，本实施例中加压中间件13的端部通过内螺纹与第一试验件11和第二试验件12连接。此时，需要将第二试验件12最上方的圆筒替换成上端带外螺纹的连接筒17，连接筒17上端设置外螺纹，以便于与加压中间件13下端的内螺纹连接。</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加压中间件13两端为内螺纹，可以增加加压中间件13的耐压强度，而且更便于加工。</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具体实施方式三</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本实施方式与实施方式一和实施方式二的区别在于：如图9、13、14所示，本实施方式中中间连接件还包括螺纹连接转换器8。加压中间件13通过螺纹连接转换器8与第一试验件11和第二试验件12连接。通过更换内径不同的螺纹连接转换器8就可使加压中间件13适应不同规格的保压实验舱，增强加压中间件13的通用性，避免制作多个加压中间件13，可降低实验成本。</w:t>
      </w:r>
    </w:p>
    <w:p>
      <w:pPr>
        <w:ind w:firstLine="480" w:firstLineChars="200"/>
        <w:jc w:val="both"/>
        <w:rPr>
          <w:rFonts w:ascii="宋体" w:eastAsia="宋体" w:hAnsi="宋体" w:cs="宋体"/>
          <w:b w:val="0"/>
          <w:color w:val="000000"/>
          <w:sz w:val="22"/>
          <w:szCs w:val="22"/>
        </w:rPr>
      </w:pPr>
      <w:r>
        <w:rPr>
          <w:rFonts w:ascii="宋体" w:eastAsia="宋体" w:hAnsi="宋体" w:cs="宋体"/>
          <w:b w:val="0"/>
          <w:color w:val="000000"/>
          <w:sz w:val="22"/>
          <w:szCs w:val="22"/>
        </w:rPr>
        <w:t>当然，本实用新型还可有其它多种实施方式，在不背离本实用新型精神及其实质的情况下，熟悉本领域的技术人员可根据本实用新型作出各种相应的改变和变形，但这些相应的改变和变形都应属于本实用新型所附的权利要求的保护范围。</w:t>
      </w:r>
    </w:p>
    <w:p>
      <w:pPr>
        <w:ind w:firstLine="480" w:firstLineChars="200"/>
        <w:jc w:val="both"/>
        <w:rPr>
          <w:rFonts w:ascii="宋体" w:eastAsia="宋体" w:hAnsi="宋体" w:cs="宋体"/>
          <w:b w:val="0"/>
          <w:color w:val="000000"/>
          <w:sz w:val="22"/>
          <w:szCs w:val="22"/>
        </w:rPr>
      </w:pPr>
      <w:r>
        <w:rPr>
          <w:rFonts w:ascii="宋体" w:hAnsi="宋体" w:cs="宋体"/>
          <w:color w:val="000000"/>
          <w:sz w:val="22"/>
          <w:szCs w:val="22"/>
        </w:rPr>
        <w:br w:type="page"/>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tblPrEx>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8522" w:type="dxa"/>
            <w:tcBorders>
              <w:top w:val="nil"/>
              <w:left w:val="nil"/>
              <w:bottom w:val="single" w:sz="12" w:space="0" w:color="auto"/>
              <w:right w:val="nil"/>
            </w:tcBorders>
          </w:tcPr>
          <w:p w:rsidR="002876FB">
            <w:pPr>
              <w:jc w:val="center"/>
              <w:rPr>
                <w:rFonts w:ascii="宋体" w:hAnsi="宋体" w:cs="宋体"/>
                <w:b/>
                <w:color w:val="000000"/>
                <w:sz w:val="32"/>
                <w:szCs w:val="32"/>
              </w:rPr>
            </w:pPr>
            <w:r>
              <w:rPr>
                <w:rFonts w:ascii="宋体" w:hAnsi="宋体" w:cs="宋体" w:hint="eastAsia"/>
                <w:b/>
                <w:color w:val="000000"/>
                <w:sz w:val="32"/>
                <w:szCs w:val="32"/>
              </w:rPr>
              <w:t>说 明 书 附 图</w:t>
            </w:r>
          </w:p>
        </w:tc>
      </w:tr>
    </w:tbl>
    <w:p w:rsidR="002876FB">
      <w:pPr>
        <w:jc w:val="center"/>
        <w:rPr>
          <w:rFonts w:ascii="宋体" w:hAnsi="宋体" w:cs="宋体"/>
          <w:b/>
          <w:color w:val="000000"/>
          <w:sz w:val="26"/>
          <w:szCs w:val="22"/>
        </w:rPr>
      </w:pPr>
      <w:r>
        <w:rPr>
          <w:rFonts w:ascii="宋体" w:hAnsi="宋体" w:cs="宋体"/>
          <w:b/>
          <w:color w:val="000000"/>
          <w:sz w:val="26"/>
          <w:szCs w:val="22"/>
        </w:rPr>
        <w:pict>
          <v:shape id="_x0000_i1027" type="#_x0000_t75" style="height:93.75pt;width:375pt">
            <v:imagedata r:id="rId9" o:title=""/>
          </v:shape>
        </w:pict>
      </w:r>
    </w:p>
    <w:p>
      <w:pPr>
        <w:jc w:val="center"/>
        <w:rPr>
          <w:rFonts w:ascii="宋体" w:hAnsi="宋体" w:cs="宋体"/>
          <w:b/>
          <w:color w:val="000000"/>
          <w:sz w:val="26"/>
          <w:szCs w:val="22"/>
        </w:rPr>
      </w:pPr>
    </w:p>
    <w:p>
      <w:pPr>
        <w:jc w:val="center"/>
        <w:rPr>
          <w:rFonts w:ascii="宋体" w:hAnsi="宋体" w:cs="宋体"/>
          <w:b/>
          <w:color w:val="000000"/>
          <w:sz w:val="26"/>
          <w:szCs w:val="22"/>
        </w:rPr>
      </w:pPr>
      <w:r>
        <w:rPr>
          <w:rFonts w:ascii="宋体" w:hAnsi="宋体" w:cs="宋体"/>
          <w:b/>
          <w:color w:val="000000"/>
          <w:sz w:val="26"/>
          <w:szCs w:val="22"/>
        </w:rPr>
        <w:pict>
          <v:shape id="_x0000_i1028" type="#_x0000_t75" style="height:1458.75pt;width:375pt">
            <v:imagedata r:id="rId10" o:title=""/>
          </v:shape>
        </w:pict>
      </w:r>
    </w:p>
    <w:p>
      <w:pPr>
        <w:jc w:val="center"/>
        <w:rPr>
          <w:rFonts w:ascii="宋体" w:hAnsi="宋体" w:cs="宋体"/>
          <w:b/>
          <w:color w:val="000000"/>
          <w:sz w:val="26"/>
          <w:szCs w:val="22"/>
        </w:rPr>
      </w:pPr>
    </w:p>
    <w:p>
      <w:pPr>
        <w:jc w:val="center"/>
        <w:rPr>
          <w:rFonts w:ascii="宋体" w:hAnsi="宋体" w:cs="宋体"/>
          <w:b/>
          <w:color w:val="000000"/>
          <w:sz w:val="26"/>
          <w:szCs w:val="22"/>
        </w:rPr>
      </w:pPr>
      <w:r>
        <w:rPr>
          <w:rFonts w:ascii="宋体" w:hAnsi="宋体" w:cs="宋体"/>
          <w:b/>
          <w:color w:val="000000"/>
          <w:sz w:val="26"/>
          <w:szCs w:val="22"/>
        </w:rPr>
        <w:pict>
          <v:shape id="_x0000_i1029" type="#_x0000_t75" style="height:533.25pt;width:375pt">
            <v:imagedata r:id="rId11" o:title=""/>
          </v:shape>
        </w:pict>
      </w:r>
    </w:p>
    <w:p>
      <w:pPr>
        <w:jc w:val="center"/>
        <w:rPr>
          <w:rFonts w:ascii="宋体" w:hAnsi="宋体" w:cs="宋体"/>
          <w:b/>
          <w:color w:val="000000"/>
          <w:sz w:val="26"/>
          <w:szCs w:val="22"/>
        </w:rPr>
      </w:pPr>
    </w:p>
    <w:p>
      <w:pPr>
        <w:jc w:val="center"/>
        <w:rPr>
          <w:rFonts w:ascii="宋体" w:hAnsi="宋体" w:cs="宋体"/>
          <w:b/>
          <w:color w:val="000000"/>
          <w:sz w:val="26"/>
          <w:szCs w:val="22"/>
        </w:rPr>
      </w:pPr>
      <w:r>
        <w:rPr>
          <w:rFonts w:ascii="宋体" w:hAnsi="宋体" w:cs="宋体"/>
          <w:b/>
          <w:color w:val="000000"/>
          <w:sz w:val="26"/>
          <w:szCs w:val="22"/>
        </w:rPr>
        <w:pict>
          <v:shape id="_x0000_i1030" type="#_x0000_t75" style="height:697.9pt;width:149.38pt">
            <v:imagedata r:id="rId12" o:title=""/>
          </v:shape>
        </w:pict>
      </w:r>
    </w:p>
    <w:p>
      <w:pPr>
        <w:jc w:val="center"/>
        <w:rPr>
          <w:rFonts w:ascii="宋体" w:hAnsi="宋体" w:cs="宋体"/>
          <w:b/>
          <w:color w:val="000000"/>
          <w:sz w:val="26"/>
          <w:szCs w:val="22"/>
        </w:rPr>
      </w:pPr>
    </w:p>
    <w:p>
      <w:pPr>
        <w:jc w:val="center"/>
        <w:rPr>
          <w:rFonts w:ascii="宋体" w:hAnsi="宋体" w:cs="宋体"/>
          <w:b/>
          <w:color w:val="000000"/>
          <w:sz w:val="26"/>
          <w:szCs w:val="22"/>
        </w:rPr>
      </w:pPr>
      <w:r>
        <w:rPr>
          <w:rFonts w:ascii="宋体" w:hAnsi="宋体" w:cs="宋体"/>
          <w:b/>
          <w:color w:val="000000"/>
          <w:sz w:val="26"/>
          <w:szCs w:val="22"/>
        </w:rPr>
        <w:pict>
          <v:shape id="_x0000_i1031" type="#_x0000_t75" style="height:639.75pt;width:375pt">
            <v:imagedata r:id="rId13" o:title=""/>
          </v:shape>
        </w:pict>
      </w:r>
    </w:p>
    <w:p>
      <w:pPr>
        <w:jc w:val="center"/>
        <w:rPr>
          <w:rFonts w:ascii="宋体" w:hAnsi="宋体" w:cs="宋体"/>
          <w:b/>
          <w:color w:val="000000"/>
          <w:sz w:val="26"/>
          <w:szCs w:val="22"/>
        </w:rPr>
      </w:pPr>
    </w:p>
    <w:p>
      <w:pPr>
        <w:jc w:val="center"/>
        <w:rPr>
          <w:rFonts w:ascii="宋体" w:hAnsi="宋体" w:cs="宋体"/>
          <w:b/>
          <w:color w:val="000000"/>
          <w:sz w:val="26"/>
          <w:szCs w:val="22"/>
        </w:rPr>
      </w:pPr>
      <w:r>
        <w:rPr>
          <w:rFonts w:ascii="宋体" w:hAnsi="宋体" w:cs="宋体"/>
          <w:b/>
          <w:color w:val="000000"/>
          <w:sz w:val="26"/>
          <w:szCs w:val="22"/>
        </w:rPr>
        <w:pict>
          <v:shape id="_x0000_i1032" type="#_x0000_t75" style="height:697.9pt;width:147.99pt">
            <v:imagedata r:id="rId14" o:title=""/>
          </v:shape>
        </w:pict>
      </w:r>
    </w:p>
    <w:p>
      <w:pPr>
        <w:jc w:val="center"/>
        <w:rPr>
          <w:rFonts w:ascii="宋体" w:hAnsi="宋体" w:cs="宋体"/>
          <w:b/>
          <w:color w:val="000000"/>
          <w:sz w:val="26"/>
          <w:szCs w:val="22"/>
        </w:rPr>
      </w:pPr>
    </w:p>
    <w:p>
      <w:pPr>
        <w:jc w:val="center"/>
        <w:rPr>
          <w:rFonts w:ascii="宋体" w:hAnsi="宋体" w:cs="宋体"/>
          <w:b/>
          <w:color w:val="000000"/>
          <w:sz w:val="26"/>
          <w:szCs w:val="22"/>
        </w:rPr>
      </w:pPr>
      <w:r>
        <w:rPr>
          <w:rFonts w:ascii="宋体" w:hAnsi="宋体" w:cs="宋体"/>
          <w:b/>
          <w:color w:val="000000"/>
          <w:sz w:val="26"/>
          <w:szCs w:val="22"/>
        </w:rPr>
        <w:pict>
          <v:shape id="_x0000_i1033" type="#_x0000_t75" style="height:488.25pt;width:375pt">
            <v:imagedata r:id="rId15" o:title=""/>
          </v:shape>
        </w:pict>
      </w:r>
    </w:p>
    <w:p>
      <w:pPr>
        <w:jc w:val="center"/>
        <w:rPr>
          <w:rFonts w:ascii="宋体" w:hAnsi="宋体" w:cs="宋体"/>
          <w:b/>
          <w:color w:val="000000"/>
          <w:sz w:val="26"/>
          <w:szCs w:val="22"/>
        </w:rPr>
      </w:pPr>
    </w:p>
    <w:p>
      <w:pPr>
        <w:jc w:val="center"/>
        <w:rPr>
          <w:rFonts w:ascii="宋体" w:hAnsi="宋体" w:cs="宋体"/>
          <w:b/>
          <w:color w:val="000000"/>
          <w:sz w:val="26"/>
          <w:szCs w:val="22"/>
        </w:rPr>
      </w:pPr>
      <w:r>
        <w:rPr>
          <w:rFonts w:ascii="宋体" w:hAnsi="宋体" w:cs="宋体"/>
          <w:b/>
          <w:color w:val="000000"/>
          <w:sz w:val="26"/>
          <w:szCs w:val="22"/>
        </w:rPr>
        <w:pict>
          <v:shape id="_x0000_i1034" type="#_x0000_t75" style="height:697.9pt;width:148.68pt">
            <v:imagedata r:id="rId16" o:title=""/>
          </v:shape>
        </w:pict>
      </w:r>
    </w:p>
    <w:p>
      <w:pPr>
        <w:jc w:val="center"/>
        <w:rPr>
          <w:rFonts w:ascii="宋体" w:hAnsi="宋体" w:cs="宋体"/>
          <w:b/>
          <w:color w:val="000000"/>
          <w:sz w:val="26"/>
          <w:szCs w:val="22"/>
        </w:rPr>
      </w:pPr>
    </w:p>
    <w:p>
      <w:pPr>
        <w:jc w:val="center"/>
        <w:rPr>
          <w:rFonts w:ascii="宋体" w:hAnsi="宋体" w:cs="宋体"/>
          <w:b/>
          <w:color w:val="000000"/>
          <w:sz w:val="26"/>
          <w:szCs w:val="22"/>
        </w:rPr>
      </w:pPr>
      <w:r>
        <w:rPr>
          <w:rFonts w:ascii="宋体" w:hAnsi="宋体" w:cs="宋体"/>
          <w:b/>
          <w:color w:val="000000"/>
          <w:sz w:val="26"/>
          <w:szCs w:val="22"/>
        </w:rPr>
        <w:pict>
          <v:shape id="_x0000_i1035" type="#_x0000_t75" style="height:697.9pt;width:149.38pt">
            <v:imagedata r:id="rId17" o:title=""/>
          </v:shape>
        </w:pict>
      </w:r>
    </w:p>
    <w:p>
      <w:pPr>
        <w:jc w:val="center"/>
        <w:rPr>
          <w:rFonts w:ascii="宋体" w:hAnsi="宋体" w:cs="宋体"/>
          <w:b/>
          <w:color w:val="000000"/>
          <w:sz w:val="26"/>
          <w:szCs w:val="22"/>
        </w:rPr>
      </w:pPr>
    </w:p>
    <w:p>
      <w:pPr>
        <w:jc w:val="center"/>
        <w:rPr>
          <w:rFonts w:ascii="宋体" w:hAnsi="宋体" w:cs="宋体"/>
          <w:b/>
          <w:color w:val="000000"/>
          <w:sz w:val="26"/>
          <w:szCs w:val="22"/>
        </w:rPr>
      </w:pPr>
      <w:r>
        <w:rPr>
          <w:rFonts w:ascii="宋体" w:hAnsi="宋体" w:cs="宋体"/>
          <w:b/>
          <w:color w:val="000000"/>
          <w:sz w:val="26"/>
          <w:szCs w:val="22"/>
        </w:rPr>
        <w:pict>
          <v:shape id="_x0000_i1036" type="#_x0000_t75" style="height:1056pt;width:374.25pt">
            <v:imagedata r:id="rId18" o:title=""/>
          </v:shape>
        </w:pict>
      </w:r>
    </w:p>
    <w:p>
      <w:pPr>
        <w:jc w:val="center"/>
        <w:rPr>
          <w:rFonts w:ascii="宋体" w:hAnsi="宋体" w:cs="宋体"/>
          <w:b/>
          <w:color w:val="000000"/>
          <w:sz w:val="26"/>
          <w:szCs w:val="22"/>
        </w:rPr>
      </w:pPr>
    </w:p>
    <w:p>
      <w:pPr>
        <w:jc w:val="center"/>
        <w:rPr>
          <w:rFonts w:ascii="宋体" w:hAnsi="宋体" w:cs="宋体"/>
          <w:b/>
          <w:color w:val="000000"/>
          <w:sz w:val="26"/>
          <w:szCs w:val="22"/>
        </w:rPr>
      </w:pPr>
      <w:r>
        <w:rPr>
          <w:rFonts w:ascii="宋体" w:hAnsi="宋体" w:cs="宋体"/>
          <w:b/>
          <w:color w:val="000000"/>
          <w:sz w:val="26"/>
          <w:szCs w:val="22"/>
        </w:rPr>
        <w:pict>
          <v:shape id="_x0000_i1037" type="#_x0000_t75" style="height:697.9pt;width:150.09pt">
            <v:imagedata r:id="rId19" o:title=""/>
          </v:shape>
        </w:pict>
      </w:r>
    </w:p>
    <w:p>
      <w:pPr>
        <w:jc w:val="center"/>
        <w:rPr>
          <w:rFonts w:ascii="宋体" w:hAnsi="宋体" w:cs="宋体"/>
          <w:b/>
          <w:color w:val="000000"/>
          <w:sz w:val="26"/>
          <w:szCs w:val="22"/>
        </w:rPr>
      </w:pPr>
    </w:p>
    <w:p>
      <w:pPr>
        <w:jc w:val="center"/>
        <w:rPr>
          <w:rFonts w:ascii="宋体" w:hAnsi="宋体" w:cs="宋体"/>
          <w:b/>
          <w:color w:val="000000"/>
          <w:sz w:val="26"/>
          <w:szCs w:val="22"/>
        </w:rPr>
      </w:pPr>
      <w:r>
        <w:rPr>
          <w:rFonts w:ascii="宋体" w:hAnsi="宋体" w:cs="宋体"/>
          <w:b/>
          <w:color w:val="000000"/>
          <w:sz w:val="26"/>
          <w:szCs w:val="22"/>
        </w:rPr>
        <w:pict>
          <v:shape id="_x0000_i1038" type="#_x0000_t75" style="height:689.25pt;width:375pt">
            <v:imagedata r:id="rId20" o:title=""/>
          </v:shape>
        </w:pict>
      </w:r>
    </w:p>
    <w:p>
      <w:pPr>
        <w:jc w:val="center"/>
        <w:rPr>
          <w:rFonts w:ascii="宋体" w:hAnsi="宋体" w:cs="宋体"/>
          <w:b/>
          <w:color w:val="000000"/>
          <w:sz w:val="26"/>
          <w:szCs w:val="22"/>
        </w:rPr>
      </w:pPr>
    </w:p>
    <w:p>
      <w:pPr>
        <w:jc w:val="center"/>
        <w:rPr>
          <w:rFonts w:ascii="宋体" w:hAnsi="宋体" w:cs="宋体"/>
          <w:b/>
          <w:color w:val="000000"/>
          <w:sz w:val="26"/>
          <w:szCs w:val="22"/>
        </w:rPr>
      </w:pPr>
      <w:r>
        <w:rPr>
          <w:rFonts w:ascii="宋体" w:hAnsi="宋体" w:cs="宋体"/>
          <w:b/>
          <w:color w:val="000000"/>
          <w:sz w:val="26"/>
          <w:szCs w:val="22"/>
        </w:rPr>
        <w:pict>
          <v:shape id="_x0000_i1039" type="#_x0000_t75" style="height:1160.25pt;width:375pt">
            <v:imagedata r:id="rId21" o:title=""/>
          </v:shape>
        </w:pict>
      </w:r>
    </w:p>
    <w:p>
      <w:pPr>
        <w:jc w:val="center"/>
        <w:rPr>
          <w:rFonts w:ascii="宋体" w:hAnsi="宋体" w:cs="宋体"/>
          <w:b/>
          <w:color w:val="000000"/>
          <w:sz w:val="26"/>
          <w:szCs w:val="22"/>
        </w:rPr>
      </w:pPr>
    </w:p>
    <w:p>
      <w:pPr>
        <w:jc w:val="center"/>
        <w:rPr>
          <w:rFonts w:ascii="宋体" w:hAnsi="宋体" w:cs="宋体"/>
          <w:b/>
          <w:color w:val="000000"/>
          <w:sz w:val="26"/>
          <w:szCs w:val="22"/>
        </w:rPr>
      </w:pPr>
      <w:r>
        <w:rPr>
          <w:rFonts w:ascii="宋体" w:hAnsi="宋体" w:cs="宋体"/>
          <w:b/>
          <w:color w:val="000000"/>
          <w:sz w:val="26"/>
          <w:szCs w:val="22"/>
        </w:rPr>
        <w:pict>
          <v:shape id="_x0000_i1040" type="#_x0000_t75" style="height:1092.75pt;width:374.25pt">
            <v:imagedata r:id="rId22" o:title=""/>
          </v:shape>
        </w:pict>
      </w:r>
    </w:p>
    <w:p>
      <w:pPr>
        <w:jc w:val="center"/>
        <w:rPr>
          <w:rFonts w:ascii="宋体" w:hAnsi="宋体" w:cs="宋体"/>
          <w:b/>
          <w:color w:val="000000"/>
          <w:sz w:val="26"/>
          <w:szCs w:val="22"/>
        </w:rPr>
      </w:pPr>
    </w:p>
    <w:p>
      <w:pPr>
        <w:jc w:val="center"/>
        <w:rPr>
          <w:rFonts w:ascii="宋体" w:hAnsi="宋体" w:cs="宋体"/>
          <w:b/>
          <w:color w:val="000000"/>
          <w:sz w:val="26"/>
          <w:szCs w:val="22"/>
        </w:rPr>
      </w:pPr>
    </w:p>
    <w:sectPr>
      <w:footerReference w:type="default" r:id="rId23"/>
      <w:pgSz w:w="11906" w:h="16838"/>
      <w:pgMar w:top="1440" w:right="1800" w:bottom="1440" w:left="1800" w:header="709" w:footer="709"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876FB">
    <w:pPr>
      <w:pStyle w:val="Foo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9525">
                        <a:noFill/>
                      </a:ln>
                    </wps:spPr>
                    <wps:txbx>
                      <w:txbxContent>
                        <w:p w:rsidR="002876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F1B27">
                            <w:rPr>
                              <w:noProof/>
                              <w:sz w:val="18"/>
                            </w:rPr>
                            <w:t>1</w:t>
                          </w:r>
                          <w:r>
                            <w:rPr>
                              <w:rFonts w:hint="eastAsia"/>
                              <w:sz w:val="18"/>
                            </w:rP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2049" type="#_x0000_t202" style="height:2in;margin-left:0;margin-top:0;mso-position-horizontal:center;mso-position-horizontal-relative:margin;mso-wrap-distance-bottom:0;mso-wrap-distance-left:9pt;mso-wrap-distance-right:9pt;mso-wrap-distance-top:0;mso-wrap-style:none;position:absolute;v-text-anchor:top;visibility:visible;width:2in;z-index:251659264" filled="f" stroked="f">
              <v:textbox style="mso-fit-shape-to-text:t" inset="0,0,0,0">
                <w:txbxContent>
                  <w:p w:rsidR="002876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F1B27">
                      <w:rPr>
                        <w:noProof/>
                        <w:sz w:val="18"/>
                      </w:rPr>
                      <w:t>1</w:t>
                    </w:r>
                    <w:r>
                      <w:rPr>
                        <w:rFonts w:hint="eastAsia"/>
                        <w:sz w:val="18"/>
                      </w:rPr>
                      <w:fldChar w:fldCharType="end"/>
                    </w:r>
                  </w:p>
                </w:txbxContent>
              </v:textbox>
              <w10:wrap anchorx="margin"/>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720"/>
  <w:noPunctuationKerning/>
  <w:characterSpacingControl w:val="doNotCompress"/>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nhideWhenUsed="1" w:qFormat="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a"/>
    <w:rPr>
      <w:sz w:val="18"/>
      <w:szCs w:val="18"/>
    </w:rPr>
  </w:style>
  <w:style w:type="paragraph" w:styleId="Footer">
    <w:name w:val="footer"/>
    <w:basedOn w:val="Normal"/>
    <w:link w:val="a1"/>
    <w:pPr>
      <w:tabs>
        <w:tab w:val="center" w:pos="4153"/>
        <w:tab w:val="right" w:pos="8306"/>
      </w:tabs>
      <w:snapToGrid w:val="0"/>
    </w:pPr>
    <w:rPr>
      <w:sz w:val="18"/>
      <w:szCs w:val="18"/>
    </w:rPr>
  </w:style>
  <w:style w:type="paragraph" w:styleId="Header">
    <w:name w:val="header"/>
    <w:basedOn w:val="Normal"/>
    <w:link w:val="a0"/>
    <w:uiPriority w:val="99"/>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customStyle="1" w:styleId="a">
    <w:name w:val="批注框文本 字符"/>
    <w:link w:val="BalloonText"/>
    <w:rPr>
      <w:sz w:val="18"/>
      <w:szCs w:val="18"/>
    </w:rPr>
  </w:style>
  <w:style w:type="character" w:customStyle="1" w:styleId="a0">
    <w:name w:val="页眉 字符"/>
    <w:link w:val="Header"/>
    <w:uiPriority w:val="99"/>
    <w:qFormat/>
    <w:rPr>
      <w:sz w:val="18"/>
      <w:szCs w:val="18"/>
    </w:rPr>
  </w:style>
  <w:style w:type="character" w:customStyle="1" w:styleId="a1">
    <w:name w:val="页脚 字符"/>
    <w:link w:val="Footer"/>
    <w:qFormat/>
    <w:rPr>
      <w:sz w:val="18"/>
      <w:szCs w:val="18"/>
    </w:rPr>
  </w:style>
  <w:style w:type="paragraph" w:customStyle="1" w:styleId="1">
    <w:name w:val="无间隔1"/>
    <w:link w:val="a2"/>
    <w:uiPriority w:val="1"/>
    <w:qFormat/>
    <w:rPr>
      <w:rFonts w:ascii="Calibri" w:hAnsi="Calibri"/>
      <w:sz w:val="22"/>
      <w:szCs w:val="22"/>
    </w:rPr>
  </w:style>
  <w:style w:type="character" w:customStyle="1" w:styleId="a2">
    <w:name w:val="无间隔 字符"/>
    <w:link w:val="1"/>
    <w:uiPriority w:val="1"/>
    <w:qFormat/>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91564F-4946-47A1-9AAA-7EDF50A08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240</Words>
  <Characters>1372</Characters>
  <Application>Microsoft Office Word</Application>
  <DocSecurity>0</DocSecurity>
  <Lines>11</Lines>
  <Paragraphs>3</Paragraphs>
  <ScaleCrop>false</ScaleCrop>
  <Company/>
  <LinksUpToDate>false</LinksUpToDate>
  <CharactersWithSpaces>1609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（19）中国人民共和国国家知识产权局</dc:title>
  <dc:creator>王彬彬</dc:creator>
  <cp:keywords>PubNum</cp:keywords>
  <cp:lastModifiedBy>dz-pc</cp:lastModifiedBy>
  <cp:revision>60</cp:revision>
  <dcterms:created xsi:type="dcterms:W3CDTF">2014-06-10T08:23:00Z</dcterms:created>
  <dcterms:modified xsi:type="dcterms:W3CDTF">2017-04-19T07:52:00Z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