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水泥试块模具养护工具</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CN202021309111.8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20200706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[龙武剑, 明高林, 龙凯迪]</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G01N1/28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CN212988966U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20210416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深圳中一联合知识产权代理有限公司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[张杨梅]</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CN212988966U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20210416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CN202021309111.8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20200706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[龙武剑, 明高林, 龙凯迪]</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深圳中一联合知识产权代理有限公司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[张杨梅]</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水泥试块模具养护工具</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79.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申请属于水泥试块模具养护技术领域，尤其涉及一种水泥试块模具养护工具，该水泥试块模具养护工具包括伸缩杆、壳体、电机、传动机构、供油机构、固定架和若干个毛刷，壳体安装于伸缩杆的端部，电机安装于壳体内，固定架安装于壳体外，各毛刷均安装于固定架上，供油机构安装于固定架上，并用于给各毛刷供油；电机的输出轴通过传动机构与各毛刷连接，并用于驱动各毛刷转动。该水泥试块模具养护工具，采用电机带动毛刷旋转，从而实现水泥试块模具的自动化刷油，从而大大提高了刷油效率，且电机带动毛刷旋转，毛刷旋转速度均匀，其刷油均匀性好，且效果好，从而解决了因人手用毛刷涂油不均匀而造成水泥试块制作的问题，也降低了劳动强度和劳务成本。</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水泥试块模具养护工具，其特征在于：包括伸缩杆、壳体、电机、传动机构、供油机构、固定架和若干个毛刷，所述壳体安装于所述伸缩杆的端部，所述电机安装于所述壳体内，所述固定架安装于所述壳体外，各所述毛刷均安装于所述固定架上，所述供油机构安装于所述固定架上，并用于给各所述毛刷供油；</w:t>
      </w:r>
    </w:p>
    <w:p>
      <w:pPr>
        <w:ind w:firstLine="480" w:firstLineChars="200"/>
        <w:rPr>
          <w:rFonts w:ascii="宋体" w:hAnsi="宋体" w:cs="宋体"/>
          <w:color w:val="000000"/>
          <w:sz w:val="22"/>
          <w:szCs w:val="22"/>
        </w:rPr>
      </w:pPr>
      <w:r>
        <w:rPr>
          <w:rFonts w:ascii="宋体" w:hAnsi="宋体" w:cs="宋体"/>
          <w:color w:val="000000"/>
          <w:sz w:val="22"/>
          <w:szCs w:val="22"/>
        </w:rPr>
        <w:t>所述电机的输出轴通过所述传动机构与各所述毛刷连接，并用于驱动各所述毛刷转动。</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水泥试块模具养护工具，其特征在于：所述传动机构包括至少两个相啮合的齿轮，各所述齿轮均转动安装于所述固定架上，所述电机的输出轴伸出所述壳体外，并与其中一个所述齿轮连接，其它所述齿轮分别与各所述毛刷一一对应连接。</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3.根据权利要求2所述的水泥试块模具养护工具，其特征在于：所述固定架上设置有若干个轴承座，各所述轴承座内均设置有第一轴承，各所述齿轮一一对应地与各所述第一轴承连接。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4.根据权利要求2所述的水泥试块模具养护工具，其特征在于：所述壳体内设置有第二轴承，所述电机的输出轴穿过所述第二轴承后伸出所述壳体外。</w:t>
      </w:r>
    </w:p>
    <w:p>
      <w:pPr>
        <w:ind w:firstLine="480" w:firstLineChars="200"/>
        <w:rPr>
          <w:rFonts w:ascii="宋体" w:hAnsi="宋体" w:cs="宋体"/>
          <w:color w:val="000000"/>
          <w:sz w:val="22"/>
          <w:szCs w:val="22"/>
        </w:rPr>
      </w:pPr>
      <w:r>
        <w:rPr>
          <w:rFonts w:ascii="宋体" w:hAnsi="宋体" w:cs="宋体"/>
          <w:color w:val="000000"/>
          <w:sz w:val="22"/>
          <w:szCs w:val="22"/>
        </w:rPr>
        <w:t>5.根据权利要求1～4任一项所述的水泥试块模具养护工具，其特征在于：所述供油机构包括塑胶储油瓶、主油管和分支油管，所述塑胶储油瓶安装于所述固定架上，所述塑胶储油瓶的出油口设置有出油嘴，所述主油管安装于所述出油嘴上，各所述分支油管均与所述主油管连通，各所述分支油管一一对应地安装于各所述毛刷上，并用于给各所述毛刷供油。</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6.根据权利要求5所述的水泥试块模具养护工具，其特征在于：各所述分支油管均设置有止油装置。</w:t>
      </w:r>
    </w:p>
    <w:p>
      <w:pPr>
        <w:ind w:firstLine="480" w:firstLineChars="200"/>
        <w:rPr>
          <w:rFonts w:ascii="宋体" w:hAnsi="宋体" w:cs="宋体"/>
          <w:color w:val="000000"/>
          <w:sz w:val="22"/>
          <w:szCs w:val="22"/>
        </w:rPr>
      </w:pPr>
      <w:r>
        <w:rPr>
          <w:rFonts w:ascii="宋体" w:hAnsi="宋体" w:cs="宋体"/>
          <w:color w:val="000000"/>
          <w:sz w:val="22"/>
          <w:szCs w:val="22"/>
        </w:rPr>
        <w:t>7.根据权利要求1～4任一项所述的水泥试块模具养护工具，其特征在于：所述伸缩杆包括外管、内管和限位机构，各所述内管设置于所述外管内，并能够沿所述外管的长度方向移动，所述限位机构设置于所述外管上，并用于限制所述内管的移动。</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8.根据权利要求7所述的水泥试块模具养护工具，其特征在于：所述限位机构包括螺钉和手柄，所述外管的外周壁上设置有螺纹孔，所述螺钉螺接于所述螺纹孔，所述手柄安装于所述螺钉外露出所述外管的端部上。</w:t>
      </w:r>
    </w:p>
    <w:p>
      <w:pPr>
        <w:ind w:firstLine="480" w:firstLineChars="200"/>
        <w:rPr>
          <w:rFonts w:ascii="宋体" w:hAnsi="宋体" w:cs="宋体"/>
          <w:color w:val="000000"/>
          <w:sz w:val="22"/>
          <w:szCs w:val="22"/>
        </w:rPr>
      </w:pPr>
      <w:r>
        <w:rPr>
          <w:rFonts w:ascii="宋体" w:hAnsi="宋体" w:cs="宋体"/>
          <w:color w:val="000000"/>
          <w:sz w:val="22"/>
          <w:szCs w:val="22"/>
        </w:rPr>
        <w:t>9.根据权利要求1～4任一项所述的水泥试块模具养护工具，其特征在于：所述壳体上设置有用于开启和关闭所述电机的活动拉杆。</w:t>
      </w:r>
    </w:p>
    <w:p>
      <w:pPr>
        <w:ind w:firstLine="480" w:firstLineChars="200"/>
        <w:rPr>
          <w:rFonts w:ascii="宋体" w:hAnsi="宋体" w:cs="宋体"/>
          <w:color w:val="000000"/>
          <w:sz w:val="22"/>
          <w:szCs w:val="22"/>
        </w:rPr>
      </w:pPr>
      <w:r>
        <w:rPr>
          <w:rFonts w:ascii="宋体" w:hAnsi="宋体" w:cs="宋体"/>
          <w:color w:val="000000"/>
          <w:sz w:val="22"/>
          <w:szCs w:val="22"/>
        </w:rPr>
        <w:t>10.根据权利要求1～4任一项所述的水泥试块模具养护工具，其特征在于：所述壳体上设置有控制面板，所述控制面板与所述电机电性连接，并用于调整所述电机的转速以及所述电机的输出轴的转动方向。</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水泥试块模具养护工具</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本申请属于水泥试块模具养护技术领域，尤其涉及一种水泥试块模具养护工具。</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模具是工业生产上用以注塑、吹塑、挤出、压铸、锻压成型、冶炼、冲压等方法得到所需产品的模子工具。简而言之，模具是用来制作成型物品的工具，它主要通过所成型材料物理状态的改变来实现物品外形的加工，在外力作用下使坯料成为有特定形状和尺寸的制件的工具。模具在使用过后，需要对其进行养护清理，以保证其正常使用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验室对水泥试块模具进行养护的传统方式，是通过人手持毛刷对模具进行刷油；而人手用毛刷子对模具进行擦拭涂油，容易出现涂油不均匀的问题，从而影响混凝土试块制作的问题；另外，其不但工作效率低、养护效果差，还会使得科研人员劳动强度大，也无法满足实验大批量试块制作后模具养护的要求。</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本申请的目的在于提供一种水泥试块模具养护工具，旨在解决现有技术中的人工刷油养护水泥试块存在着养护操作复杂、手工刷油效果差、不均匀且效率低的技术问题。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上述目的，本申请采用的技术方案是：一种水泥试块模具养护工具，包括伸缩杆、壳体、电机、传动机构、供油机构、固定架和若干个毛刷，所述壳体安装于所述伸缩杆的端部，所述电机安装于所述壳体内，所述固定架安装于所述壳体外，各所述毛刷均安装于所述固定架上，所述供油机构安装于所述固定架上，并用于给各所述毛刷供油；所述电机的输出轴通过所述传动机构与各所述毛刷连接，并用于驱动各所述毛刷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可选地，所述传动机构包括至少两个相啮合的齿轮，各所述齿轮均转动安装于所述固定架上，所述电机的输出轴伸出所述壳体外，并与其中一个所述齿轮连接，其它所述齿轮分别与各所述毛刷一一对应连接。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可选地，所述固定架上设置有若干个轴承座，各所述轴承座内均设置有第一轴承，各所述齿轮一一对应地与各所述第一轴承连接。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可选地，所述壳体内设置有第二轴承，所述电机的输出轴穿过所述第二轴承后伸出所述壳体外。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供油机构包括塑胶储油瓶、主油管和分支油管，所述塑胶储油瓶安装于所述固定架上，所述塑胶储油瓶的出油口设置有出油嘴，所述主油管安装于所述出油嘴上，各所述分支油管均与所述主油管连通，各所述分支油管一一对应地安装于各所述毛刷上，并用于给各所述毛刷供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可选地，各所述分支油管均设置有止油装置。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可选地，所述伸缩杆包括外管、内管和限位机构，各所述内管设置于所述外管内，并能够沿所述外管的长度方向移动，所述限位机构设置于所述外管上，并用于限制所述内管的移动。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可选地，所述限位机构包括螺钉和手柄，所述外管的外周壁上设置有螺纹孔，所述螺钉螺接于所述螺纹孔，所述手柄安装于所述螺钉外露出所述外管的端部上。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可选地，所述壳体上设置有用于开启和关闭所述电机的活动拉杆。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可选地，所述壳体上设置有控制面板，所述控制面板与所述电机电性连接，并用于调整所述电机的转速以及所述电机的输出轴的转动方向。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申请提供的水泥试块模具养护工具中的上述一个或多个技术方案至少具有如下技术效果之一：在使用时，供油机构将润滑油均匀地布满在各毛刷上，然后，展开伸缩杆，从而将毛刷设置在水泥试块模具上，然后启动电机，电机的输出轴输出旋转动力，旋转动力通过传动机构传递给各毛刷，从而带动各毛刷旋转，进而对水泥试块模具进行均匀地刷油，该水泥试块模具养护工具，采用电机带动毛刷旋转，从而实现水泥试块模具的自动化刷油，从而大大提高了刷油效率，且电机带动毛刷旋转，毛刷旋转速度均匀，其刷油均匀性好，且效果好，从而解决了因人手用毛刷涂油不均匀而造成水泥试块制作的问题，也大大降低了劳动强度和劳务成本，另外，该水泥试块模具养护工具，在实验室中使用方便、快捷和实用性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申请实施例中的技术方案，下面将对实施例或现有技术描述中所需要使用的附图作简单地介绍，显而易见地，下面描述中的附图仅仅是本申请的一些实施例，对于本领域普通技术人员来讲，在不付出创造性劳动性的前提下，还可以根据这些附图获得其它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图1为本申请实施例提供的水泥试块模具养护工具的主视图。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图2为图1所示的水泥试块模具养护工具的左视图。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图3为图1所示的水泥试块模具养护工具中的传动机构的结构示意图。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图4为图1所示的水泥试块模具养护工具中的壳体内电机的结构示意图。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图5为图1所示的水泥试块模具养护工具中的供油机构的结构示意图。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其中，图中各附图标记：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10—伸缩杆 11—外管 12—内管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13—限位机构 20—壳体 21—第二轴承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22—活动拉杆 23—控制面板 24—把手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30—电机 31—输出轴 40—传动机构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41—齿轮 50—供油机构 51—塑胶储油瓶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52—主油管 53—分支油管 54—止油装置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55—出油嘴 60—固定架 61—连接板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62—安装板 70—毛刷 131—螺钉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132—手柄。</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详细描述本申请的实施例，所述实施例的示例在附图中示出，其中自始至终相同或类似的标号表示相同或类似的元件或具有相同或类似功能的元件。下面通过参考附图1～5描述的实施例是示例性的，旨在用于解释本申请，而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描述中，需要理解的是，术语“长度”、“宽度”、“上”、“下”、“前”、“后”、“左”、“右”、“竖直”、“水平”、“顶”、“底”“内”、“外”等指示的方位或位置关系为基于附图所示的方位或位置关系，仅是为了便于描述本申请和简化描述，而不是指示或暗示所指的装置或元件必须具有特定的方位、以特定的方位构造和操作，因此不能理解为对本申请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术语“第一”、“第二”仅用于描述目的，而不能理解为指示或暗示相对重要性或者隐含指明所指示的技术特征的数量。由此，限定有“第一”、“第二”的特征可以明示或者隐含地包括一个或者更多个该特征。在本申请的描述中，“多个”的含义是两个或两个以上，除非另有明确具体的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中，除非另有明确的规定和限定，术语“安装”、“相连”、“连接”、“固定”等术语应做广义理解，例如，可以是固定连接，也可以是可拆卸连接，或成一体；可以是机械连接，也可以是电连接；可以是直接相连，也可以通过中间媒介间接相连，可以是两个元件内部的连通或两个元件的相互作用关系。对于本领域的普通技术人员而言，可以根据具体情况理解上述术语在本申请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5所示，在本申请的一个实施例中，提供一种水泥试块模具养护工具，其适用于实验室中的水泥试块模具的刷油养护中；该水泥试块模具养护工具包括伸缩杆10、壳体20、电机30、传动机构40、供油机构50、固定架60和若干个毛刷70，壳体20安装于伸缩杆10的端部，电机30安装于壳体20内，固定架60安装于壳体20外，各毛刷70均安装于固定架60上，供油机构50安装于固定架60上，并用于给各毛刷70供油；电机30的输出轴31通过传动机构40与各毛刷70连接，并用于驱动各毛刷70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参阅图1和图2所示，本申请实施例的水泥试块模具养护工具，在使用时，供油机构50将润滑油均匀地布满在各毛刷70上，然后，展开伸缩杆10，从而将毛刷70设置在水泥试块模具上，然后启动电机30，电机30的输出轴31输出旋转动力，旋转动力通过传动机构40传递给各毛刷70，从而带动各毛刷70旋转，进而对水泥试块模具进行均匀地刷油，该水泥试块模具养护工具，采用电机30带动毛刷70旋转，从而实现水泥试块模具的自动化刷油，从而大大提高了刷油效率，且电机30带动毛刷70旋转，毛刷70旋转速度均匀，其刷油均匀性好，且效果好，从而解决了因人手用毛刷70涂油不均匀而造成水泥试块制作的问题，也大大降低了劳动强度和劳务成本，另外，该水泥试块模具养护工具，在实验室中使用方便、快捷和实用性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参阅图2所示，伸缩杆10的上端穿设于壳体20内，并与壳体20过盈配合，从而实现伸缩杆10与壳体20的固定，另外，电机30的输出轴31朝下设置，固定架60位于壳体20的下方，毛刷70也朝下设置，并背向固定架60设置，该布局方式，其结构紧凑，也便于部件的安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本实施例中，参阅图1所示，毛刷70的数量可以为两个、三个或者三个以上，其具体的数量可以根据水泥试块模具的尺寸进行选择，以提高刷油效率。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进一步地，参阅图1和图2所示，壳体20的上部还设置有把手24，以方便该水泥试块模具养护工具的移动。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图2和图3所示，提供的该水泥试块模具养护工具的传动机构40包括至少两个相啮合的齿轮41，各齿轮41均转动安装于固定架60上，电机30的输出轴31伸出壳体20外，并与其中一个齿轮41连接，其它齿轮41分别与各毛刷70一一对应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电机30的输出轴31带动与之连接的齿轮41旋转，该齿轮41旋转从而带动其它齿轮41同时旋转，从而实现各毛刷70的旋转刷油操作，传动机构40采用齿轮41的传动结构，齿轮41动力传递的精度高，这样也可以保证各毛刷70同步旋转，从而提高刷油均匀性，刷油效果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进一步地，参阅图3所示，各齿轮41依次啮合且呈直线排列，当然在其他实施例中，也可以呈三角性、四角性等形状排列，其具体的排列形式，可以根据水泥试块模具的形状尺寸进行设计，在此不作限定。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在本申请的另一个实施例中，提供的该水泥试块模具养护工具的固定架60上设置有若干个轴承座(图未示)，各轴承座内均设置有第一轴承(图未示)，各齿轮41一一对应地与各第一轴承连接。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齿轮41与第一轴承的内圈过盈配合，第一轴承的外圈安装于轴承座内，轴承座安装在固定架60上，如此便实现齿轮41与固定架60的转动连接，并且，第一轴承使得齿轮41旋转更为顺畅，刷油效果更好，且大大提高了齿轮41旋转的稳定可靠性以及机械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在本申请的另一个实施例中，参阅图1和图4所示，提供的该水泥试块模具养护工具的壳体20内设置有第二轴承21，电机30的输出轴31穿过第二轴承21后伸出壳体20外。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具体地，电机30的输出轴31穿设于第二轴承21的内圈内，并与第二轴承21的内圈过盈配合，第二轴承21可以起到限制电机30的输出轴31的作用，避免电机30的输出轴31抖动，使得毛刷70的旋转更为稳定，刷油效果更好。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参阅图1和图2所示，固定架60包括安装板62和连接板61，齿轮41以及供油机构50均安装于安装板62上，安装板62为齿轮41和供油机构50提供安装基体，而连接板61的两端分别连接于壳体20和安装板62之间，这样齿轮41、供油机构50以及毛刷70的安装更为稳定可靠，整个工具的结构强度更好，刷油效果更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图2和图5所示，提供的该水泥试块模具养护工具的供油机构50包括塑胶储油瓶51、主油管52和分支油管53，塑胶储油瓶51安装于固定架60上，塑胶储油瓶51的出油口设置有出油嘴55，主油管52安装于出油嘴55上，各分支油管53均与主油管52连通，各分支油管53一一对应地安装于各毛刷70上，并用于给各毛刷70供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该水泥试块模具养护工具，在使用时，只需挤压塑胶储油瓶51，塑胶储油瓶51内的润滑油依次经过出油嘴55、主油管52和各分支油管53，从而均匀地分散在各毛刷70上，从而实现毛刷70的供油操作，其操作简单方便快捷；并且，出油嘴55优选具有止油性能的出油嘴55，即在挤压塑胶储油瓶51时，采用润滑油从塑胶储油瓶51内流出，在不挤压塑胶储油瓶51时，润滑油无法从塑胶储油瓶51内流出，从而避免润滑油的浪费，以及避免刷油过厚，保证刷油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图2和图5所示，提供的该水泥试块模具养护工具的各分支油管53均设置有止油装置54。具体地，止油装置54可以为弹簧夹，弹簧夹夹紧在分支油管53上，从而防止润滑油流出，这样通过弹簧夹的夹紧和松开，也可以灵活控制各毛刷70上的润滑油量，从而有效地提高了刷油的均匀性，也可以避免漏油和渗油；在另一实施例中，止油装置54还可以为截止阀；当然在其他实施例中，止油装置54也可以为任何可以控制分支油管53油路通断的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2所示，提供的该水泥试块模具养护工具的伸缩杆10包括外管11、内管12和限位机构13，各内管12设置于外管11内，并能够沿外管11的长度方向移动，限位机构13设置于外管11上，并用于限制内管12的移动，壳体20安装于内管12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在使用时，将内管12从外管11内拉出，从而实现伸缩杆10的展开，当内管12拉动到预设位置后，将限位机构13锁紧，从而使得外管11和内管12相对固定锁止，从而将壳体20固定到预设高度，从而防止刷油过程中，壳体20等部件下移，而影响刷油效果；当刷油完成后，解锁限位机构13，内管12与外管11解除锁止状态，将内管12移动到外管11内，从而方便收纳；另外，内管12相对于外管11移动到不同位置，也可以适用于不同尺寸的水泥试块模具养护工具的刷油操作，大大提高了该水泥试块模具养护工具的适用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所示，提供的该水泥试块模具养护工具的限位机构13包括螺钉131和手柄132，外管11的外周壁上设置有螺纹孔(图未示)，螺钉131螺接于螺纹孔，手柄132安装于螺钉131外露出外管11的端部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在使用时，当内管12移动到预设位置后，转动手柄132，手柄132带动螺钉131在螺纹孔内转动，使得螺钉131的端部抵紧在内管12的外周壁上，从而实现内管12和外管11的相对固定锁止；当内管12需要移动时，反向转动手柄132，手柄132带动螺钉131在螺纹孔内反向转动，使得螺钉131的端部与内管12的外周壁分离，从而解除内管12和外管11的锁止状态；通过转动手柄132，从而带动螺钉131转动，使得旋转操作更为省时省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在另一实施例中，限位机构13还可以为伸缩杆10锁扣；当然在其他实施例中，限位机构13可以为其他任何可以将内管12和外管11相对锁止和解锁的机构。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和图2所示，提供的该水泥试块模具养护工具的壳体20上设置有用于开启和关闭电机30的活动拉杆22。具体地，在使用时，直接拉动滑动拉杆，从而实现电机30的开启和关闭，其操作更为方便快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申请的另一个实施例中，参阅图1所示，提供的该水泥试块模具养护工具的壳体20上设置有控制面板23，控制面板23与电机30电性连接，并用于调整电机30的转速以及电机30的输出轴31的转动方向。具体地，研发人员通过操作控制面板23，即可调节电机30的转速以及电机30的输出轴31的转动方向，也就是调节毛刷70的转速以及毛刷70的旋转方向，使得刷油更为均匀，刷油效果更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控制面板23上设置有控制器(图未示)，控制器与电机30电性连接；控制器可以为由电控组件、信息处理中心与数据处理中心集成组成。控制器还可以是PLC控制器或者计算机。研究人员操作控制面板23，控制面板23发出信号给控制器，控制器发出指令控制电机30的转速和转动方向，从而实现毛刷70转速以及转动方向的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以上仅为本申请的较佳实施例而已，并不用以限制本申请，凡在本申请的精神和原则之内所作的任何修改、等同替换和改进等，均应包含在本申请的保护范围之内。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559.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018.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56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451.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03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