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混凝土电化学阻抗测试设备及其混凝土电化学阻抗模具</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CN202021030551.X</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20200605</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[龙武剑, 张轩翰, 解静, 龙凯迪]</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G01N27/04</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CN213239998U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20210518</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深圳中一联合知识产权代理有限公司</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[赵磊]</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CN213239998U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20210518</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CN202021030551.X</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20200605</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[龙武剑, 张轩翰, 解静, 龙凯迪]</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深圳中一联合知识产权代理有限公司</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[赵磊]</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混凝土电化学阻抗测试设备及其混凝土电化学阻抗模具</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16.2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申请属于混凝土测试技术领域，尤其涉及一种混凝土电化学阻抗测试设备及其混凝土电化学阻抗模具，该混凝土电化学阻抗模具包括底座、两个导电挡板和两个螺旋加固机构，底座上具有用于承载测试块的承载面，两个导电挡板相对间隔设置，并均位于承载面的上方，两个导电挡板之间形成供测试块放置的放置区，两个导电挡板能够相互靠近或者相互远离，以夹紧测试块或者松开测试块；两个螺旋加固机构分别位于两个导电挡板背向放置区的侧方；各螺旋加固机构均包括加固杆，加固杆安装于底座上，并朝向导电挡板延伸，加固杆靠近导电挡板的端部螺接有用于抵紧导电挡板上的螺旋加固件。该混凝土电化学阻抗模具可以满足小尺寸测试块的测试需求，且操作简便快捷。</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混凝土电化学阻抗模具，其特征在于：包括底座、两个导电挡板和两个螺旋加固机构，所述底座上具有用于承载测试块的承载面，两个所述导电挡板相对间隔设置，并均位于所述承载面的上方，两个所述导电挡板之间形成供所述测试块放置的放置区，两个所述导电挡板能够相互靠近或者相互远离，以夹紧所述测试块或者松开所述测试块；两个所述螺旋加固机构分别位于两个所述导电挡板背向所述放置区的侧方；</w:t>
      </w:r>
    </w:p>
    <w:p>
      <w:pPr>
        <w:ind w:firstLine="480" w:firstLineChars="200"/>
        <w:rPr>
          <w:rFonts w:ascii="宋体" w:hAnsi="宋体" w:cs="宋体"/>
          <w:color w:val="000000"/>
          <w:sz w:val="22"/>
          <w:szCs w:val="22"/>
        </w:rPr>
      </w:pPr>
      <w:r>
        <w:rPr>
          <w:rFonts w:ascii="宋体" w:hAnsi="宋体" w:cs="宋体"/>
          <w:color w:val="000000"/>
          <w:sz w:val="22"/>
          <w:szCs w:val="22"/>
        </w:rPr>
        <w:t>各所述螺旋加固机构均包括加固杆，所述加固杆安装于所述底座上，并朝向所述导电挡板延伸，所述加固杆靠近所述导电挡板的端部螺接有用于抵紧所述导电挡板上的螺旋加固件。</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2.根据权利要求1所述的混凝土电化学阻抗模具，其特征在于：各所述螺旋加固机构均包括至少两个所述加固杆，各所述加固杆沿所述导电挡板的长度方向间隔设置。</w:t>
      </w:r>
    </w:p>
    <w:p>
      <w:pPr>
        <w:ind w:firstLine="480" w:firstLineChars="200"/>
        <w:rPr>
          <w:rFonts w:ascii="宋体" w:hAnsi="宋体" w:cs="宋体"/>
          <w:color w:val="000000"/>
          <w:sz w:val="22"/>
          <w:szCs w:val="22"/>
        </w:rPr>
      </w:pPr>
      <w:r>
        <w:rPr>
          <w:rFonts w:ascii="宋体" w:hAnsi="宋体" w:cs="宋体"/>
          <w:color w:val="000000"/>
          <w:sz w:val="22"/>
          <w:szCs w:val="22"/>
        </w:rPr>
        <w:t>3.根据权利要求1所述的混凝土电化学阻抗模具，其特征在于：所述螺旋加固件包括圆柱部，所述圆柱部开设有用于与所述加固杆的内螺纹孔，所述内螺纹孔沿所述圆柱部的轴线方向，所述圆柱部的外周壁上设置有若干个凸起，各所述凸起沿所述圆柱部周向间隔设置。</w:t>
      </w:r>
    </w:p>
    <w:p>
      <w:pPr>
        <w:ind w:firstLine="480" w:firstLineChars="200"/>
        <w:rPr>
          <w:rFonts w:ascii="宋体" w:hAnsi="宋体" w:cs="宋体"/>
          <w:color w:val="000000"/>
          <w:sz w:val="22"/>
          <w:szCs w:val="22"/>
        </w:rPr>
      </w:pPr>
      <w:r>
        <w:rPr>
          <w:rFonts w:ascii="宋体" w:hAnsi="宋体" w:cs="宋体"/>
          <w:color w:val="000000"/>
          <w:sz w:val="22"/>
          <w:szCs w:val="22"/>
        </w:rPr>
        <w:t>4.根据权利要求3所述的混凝土电化学阻抗模具，其特征在于：所述凸起的数量为两个，两个所述凸起关于所述圆柱部的轴线对称设置。</w:t>
      </w:r>
    </w:p>
    <w:p>
      <w:pPr>
        <w:ind w:firstLine="480" w:firstLineChars="200"/>
        <w:rPr>
          <w:rFonts w:ascii="宋体" w:hAnsi="宋体" w:cs="宋体"/>
          <w:color w:val="000000"/>
          <w:sz w:val="22"/>
          <w:szCs w:val="22"/>
        </w:rPr>
      </w:pPr>
      <w:r>
        <w:rPr>
          <w:rFonts w:ascii="宋体" w:hAnsi="宋体" w:cs="宋体"/>
          <w:color w:val="000000"/>
          <w:sz w:val="22"/>
          <w:szCs w:val="22"/>
        </w:rPr>
        <w:t>5.根据权利要求1～4任一项所述的混凝土电化学阻抗模具，其特征在于：所述底座包括用于承载测试块的承载板和两个安装板，两个所述安装板分别安装于所述承载板的相对两侧，两个所述导电挡板位于两个所述安装板之间，两个所述安装板设置有安装通孔，各所述加固杆一一对应地滑动穿设于各所述安装通孔内。</w:t>
      </w:r>
    </w:p>
    <w:p>
      <w:pPr>
        <w:ind w:firstLine="480" w:firstLineChars="200"/>
        <w:rPr>
          <w:rFonts w:ascii="宋体" w:hAnsi="宋体" w:cs="宋体"/>
          <w:color w:val="000000"/>
          <w:sz w:val="22"/>
          <w:szCs w:val="22"/>
        </w:rPr>
      </w:pPr>
      <w:r>
        <w:rPr>
          <w:rFonts w:ascii="宋体" w:hAnsi="宋体" w:cs="宋体"/>
          <w:color w:val="000000"/>
          <w:sz w:val="22"/>
          <w:szCs w:val="22"/>
        </w:rPr>
        <w:t>6.根据权利要求5所述的混凝土电化学阻抗模具，其特征在于：所述承载板的另一相对两侧分别设有固定挡板，两个所述固定挡板相对间隔设置，并均垂直于所述导电挡板，两个所述导电挡板均位于两个所述固定挡板之间，所述导电挡板的两端分别抵接两个所述固定挡板上。</w:t>
      </w:r>
    </w:p>
    <w:p>
      <w:pPr>
        <w:ind w:firstLine="480" w:firstLineChars="200"/>
        <w:rPr>
          <w:rFonts w:ascii="宋体" w:hAnsi="宋体" w:cs="宋体"/>
          <w:color w:val="000000"/>
          <w:sz w:val="22"/>
          <w:szCs w:val="22"/>
        </w:rPr>
      </w:pPr>
      <w:r>
        <w:rPr>
          <w:rFonts w:ascii="宋体" w:hAnsi="宋体" w:cs="宋体"/>
          <w:color w:val="000000"/>
          <w:sz w:val="22"/>
          <w:szCs w:val="22"/>
        </w:rPr>
        <w:t>7.根据权利要求5所述的混凝土电化学阻抗模具，其特征在于：所述导电挡板背向所述放置区的侧面设置有容置孔；所述加固杆包括依次连接的连接段、螺纹段和滑动段，所述螺旋加固件螺接于所述螺纹段上，所述连接段用于插入所述容置孔，所述滑动段穿设于所述安装通孔内。</w:t>
      </w:r>
    </w:p>
    <w:p>
      <w:pPr>
        <w:ind w:firstLine="480" w:firstLineChars="200"/>
        <w:rPr>
          <w:rFonts w:ascii="宋体" w:hAnsi="宋体" w:cs="宋体"/>
          <w:color w:val="000000"/>
          <w:sz w:val="22"/>
          <w:szCs w:val="22"/>
        </w:rPr>
      </w:pPr>
      <w:r>
        <w:rPr>
          <w:rFonts w:ascii="宋体" w:hAnsi="宋体" w:cs="宋体"/>
          <w:color w:val="000000"/>
          <w:sz w:val="22"/>
          <w:szCs w:val="22"/>
        </w:rPr>
        <w:t>8.根据权利要求7所述的混凝土电化学阻抗模具，其特征在于：所述连接段和所述滑动段均光杆段。</w:t>
      </w:r>
    </w:p>
    <w:p>
      <w:pPr>
        <w:ind w:firstLine="480" w:firstLineChars="200"/>
        <w:rPr>
          <w:rFonts w:ascii="宋体" w:hAnsi="宋体" w:cs="宋体"/>
          <w:color w:val="000000"/>
          <w:sz w:val="22"/>
          <w:szCs w:val="22"/>
        </w:rPr>
      </w:pPr>
      <w:r>
        <w:rPr>
          <w:rFonts w:ascii="宋体" w:hAnsi="宋体" w:cs="宋体"/>
          <w:color w:val="000000"/>
          <w:sz w:val="22"/>
          <w:szCs w:val="22"/>
        </w:rPr>
        <w:t>9.根据权利要求1～4任一项所述的混凝土电化学阻抗模具，其特征在于：两个所述导电挡板均设置有用于外部电源电性连接的接头。</w:t>
      </w:r>
    </w:p>
    <w:p>
      <w:pPr>
        <w:ind w:firstLine="480" w:firstLineChars="200"/>
        <w:rPr>
          <w:rFonts w:ascii="宋体" w:hAnsi="宋体" w:cs="宋体"/>
          <w:color w:val="000000"/>
          <w:sz w:val="22"/>
          <w:szCs w:val="22"/>
        </w:rPr>
      </w:pPr>
      <w:r>
        <w:rPr>
          <w:rFonts w:ascii="宋体" w:hAnsi="宋体" w:cs="宋体"/>
          <w:color w:val="000000"/>
          <w:sz w:val="22"/>
          <w:szCs w:val="22"/>
        </w:rPr>
        <w:t>10.一种混凝土电化学阻抗测试设备，其特征在于：包括权利要求1～9任一项所述的混凝土电化学阻抗模具。</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混凝土电化学阻抗测试设备及其混凝土电化学阻抗模具</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本申请属于混凝土测试技术领域，尤其涉及一种混凝土电化学阻抗测试设备及其混凝土电化学阻抗模具。</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目前，在进行混凝土电化学阻抗测试时，一般测试块要进行后续的无损抗压强度测试，所以现有的混凝土电化学阻抗模具主要适用于较大尺寸的混凝土试块，而利用此模具测试小尺寸混凝土试块时，存在着操作不便的问题。对于实验者来说，在使用现有的混凝土电化学阻抗模具对小尺寸混凝土进行测试时，存在着操作不便以及实验效率低的问题。</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本申请的目的在于提供一种混凝土电化学阻抗测试设备及其混凝土电化学阻抗模具，旨在解决现有技术中的测试小尺寸混凝土试块电化学阻抗时存在着操作不便以及实验效率低的技术问题。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实现上述目的，本申请采用的技术方案是：一种混凝土电化学阻抗模具，包括底座、两个导电挡板和两个螺旋加固机构，所述底座上具有用于承载测试块的承载面，两个所述导电挡板相对间隔设置，并均位于所述承载面的上方，两个所述导电挡板之间形成供所述测试块放置的放置区，两个所述导电挡板能够相互靠近或者相互远离，以夹紧所述测试块或者松开所述测试块；两个所述螺旋加固机构分别位于两个所述导电挡板背向所述放置区的侧方；各所述螺旋加固机构均包括加固杆，所述加固杆安装于所述底座上，并朝向所述导电挡板延伸，所述加固杆靠近所述导电挡板的端部螺接有用于抵紧所述导电挡板上的螺旋加固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可选地，各所述螺旋加固机构均包括至少两个所述加固杆，各所述加固杆沿所述导电挡板的长度方向间隔设置。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螺旋加固件包括圆柱部，所述圆柱部开设有用于与所述加固杆的内螺纹孔，所述内螺纹孔沿所述圆柱部的轴线方向，所述圆柱部的外周壁上设置有若干个凸起，各所述凸起沿所述圆柱部周向间隔设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可选地，所述凸起的数量为两个，两个所述凸起关于所述圆柱部的轴线对称设置。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底座包括用于承载测试块的承载板和两个安装板，两个所述安装板分别安装于所述承载板的相对两侧，两个所述导电挡板位于两个所述安装板之间，两个所述安装板设置有安装通孔，各所述加固杆一一对应地滑动穿设于各所述安装通孔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承载板的另一相对两侧分别设有固定挡板，两个所述固定挡板相对间隔设置，并均垂直于所述导电挡板，两个所述导电挡板均位于两个所述固定挡板之间，所述导电挡板的两端分别抵接两个所述固定挡板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导电挡板背向所述放置区的侧面设置有容置孔；所述加固杆包括依次连接的连接段、螺纹段和滑动段，所述螺旋紧固件螺接于所述螺纹段上，所述连接段用于插入所述容置孔，所述滑动段穿设于所述安装通孔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可选地，所述连接段和所述滑动段均光杆段。</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可选地，两个所述导电挡板均设置有用于外部电源电性连接的接头。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申请提供的混凝土电化学阻抗模具中的上述一个或多个技术方案至少具有如下技术效果之一：在使用时，将测试块放置在底座的承载面上，并位于两个导电挡板之间，然后，同时移动两侧导电挡板，将测试块夹紧，然后，再拧动两个螺旋加固机构的加固杆上的螺旋加固件，使得螺旋加固件抵紧在对应的导电挡板上，保证两侧导电挡板与测试块充分接触，降低电流损失率，提高测试结果的精度；本申请的混凝土电化学阻抗模具的两侧导电挡板均能够相对移动，这样两个导电挡板之间距离可以灵活调节，故可以满足小尺寸测试块的测试需求，且操作简便快捷，实验效率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本申请采用的另一技术方案是：一种混凝土电化学阻抗测试设备，包括上述的混凝土电化学阻抗模具。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申请的混凝土电化学阻抗测试设备，由于采用了上述的混凝土电化学阻抗模具，一方面，降低电流损失率，提高测试结果的精度；另一方面，两侧导电挡板均能够相对移动，这样两个导电挡板之间距离可以灵活调节，故可以满足小尺寸测试块的测试需求，且操作简便快捷，实验效率高。</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更清楚地说明本申请实施例中的技术方案，下面将对实施例或现有技术描述中所需要使用的附图作简单地介绍，显而易见地，下面描述中的附图仅仅是本申请的一些实施例，对于本领域普通技术人员来讲，在不付出创造性劳动性的前提下，还可以根据这些附图获得其他的附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图1为本申请实施例提供的混凝土电化学阻抗模具的一个视角的结构示意图。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图2为图1所示的混凝土电化学阻抗模具的另一个视角的结构示意图。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其中，图中各附图标记：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10—底座 11—承载板 12—安装板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13—固定挡板 20—导电挡板 21—接头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30—螺旋加固机构 31—加固杆 32—螺旋加固件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40—放置区 321—圆柱部 322—凸起。</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下面详细描述本申请的实施例，所述实施例的示例在附图中示出，其中自始至终相同或类似的标号表示相同或类似的元件或具有相同或类似功能的元件。下面通过参考附图1～2描述的实施例是示例性的，旨在用于解释本申请，而不能理解为对本申请的限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描述中，需要理解的是，术语“长度”、“宽度”、“上”、“下”、“前”、“后”、“左”、“右”、“竖直”、“水平”、“顶”、“底”“内”、“外”等指示的方位或位置关系为基于附图所示的方位或位置关系，仅是为了便于描述本申请和简化描述，而不是指示或暗示所指的装置或元件必须具有特定的方位、以特定的方位构造和操作，因此不能理解为对本申请的限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此外，术语“第一”、“第二”仅用于描述目的，而不能理解为指示或暗示相对重要性或者隐含指明所指示的技术特征的数量。由此，限定有“第一”、“第二”的特征可以明示或者隐含地包括一个或者更多个该特征。在本申请的描述中，“多个”的含义是两个或两个以上，除非另有明确具体的限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中，除非另有明确的规定和限定，术语“安装”、“相连”、“连接”、“固定”等术语应做广义理解，例如，可以是固定连接，也可以是可拆卸连接，或成一体；可以是机械连接，也可以是电连接；可以是直接相连，也可以通过中间媒介间接相连，可以是两个元件内部的连通或两个元件的相互作用关系。对于本领域的普通技术人员而言，可以根据具体情况理解上述术语在本申请中的具体含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2所示，在本申请的一个实施例中，提供一种混凝土电化学阻抗模具，适用于测试块的电化学阻抗测试中，特别低，适用于小尺寸测试块的电化学阻抗测试中，其中，本实施例中的小尺寸测试块通常是指其边长为1.5cm～3cm 范围内的立方体，该混凝土电化学阻抗模具适用于最大测试块的尺寸是边长为 3cm立方体。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该混凝土电化学阻抗模具包括底座10、两个导电挡板20和两个螺旋加固机构30，底座10上具有用于承载测试块的承载面，两个导电挡板20相对间隔设置，并均位于承载面的上方，两个导电挡板20之间形成供测试块放置的放置区 40，两个导电挡板20能够相互靠近或者相互远离，以夹紧测试块或者松开测试块；其中，导电挡板垂直放置在承载板11上，并不与承载板11连接，且两个导电挡板20相对设置的表面为光滑面，以便与测试块紧密贴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进一步地，两个螺旋加固机构30分别位于两个导电挡板20背向放置区40 的侧方；各螺旋加固机构30均包括加固杆31，加固杆31安装于底座10上，并朝向导电挡板20延伸，其中，加固杆31与导电挡板20垂直设置，更进一步地，加固杆31靠近导电挡板20的端部螺接有用于抵紧导电挡板20上的螺旋加固件 32，其中，两个螺旋加固机构30的螺旋加固件32分别抵紧在两个导电挡板20 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本申请实施例的混凝土电化学阻抗模具，在使用时，将测试块放置两个导电挡板20之间，并位于底座10的承载面上，然后，同时移动两侧导电挡板20，将测试块夹紧，然后，再拧动两个螺旋加固机构30的加固杆31上的螺旋加固件32，使得螺旋加固件32抵紧在对应的导电挡板20上，保证两侧导电挡板20与测试块充分接触，降低电流损失率，提高测试结果的精度；本申请的混凝土电化学阻抗模具的两侧导电挡板20均能够相对移动，这样两个导电挡板20之间距离可以灵活调节，故可以满足小尺寸测试块的测试需求，且操作简便快捷，实验效率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进一步地，在测试完成后，松开螺旋加固件32，只需推动两侧导电挡板20 远离测试块，即可取出测试块，实验整体方便快捷，实验效率高，结果相对精确。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在本申请的另一个实施例中，提供的该混凝土电化学阻抗模具的各安装板 12均设置有至少两个加固杆31，各加固杆31沿导电挡板20的长度方向间隔设置。那么当导电挡板20与测试块接触后，多个加固杆31上的螺旋加固件32同时抵紧在导电挡板20上，且导电挡板20受力均匀，使得导电挡板20与测试块之间的接触更为紧密，进一步地，降低了电流损失率，提高了测试结果精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个实施例中，参阅图2所示，提供的该混凝土电化学阻抗模具的螺旋加固件32包括圆柱部321，圆柱部321开设有用于与加固杆31的内螺纹孔(图未示)，内螺纹孔沿圆柱部321的轴线方向，圆柱部321的外周壁上设置有若干个凸起322，各凸起322沿圆柱部321周向间隔设置。具体地，圆柱部321通过内螺纹孔与加固杆31螺纹连接，并且，在拧动圆柱部321的过程中，凸起322可以作为着力点，使得螺旋加固件32的拧动更为轻松，测试块的固定操作更为方便快捷，实验效率更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个实施例中，参阅图2所示，提供的该混凝土电化学阻抗模具的凸起322的数量为两个，两个凸起322关于圆柱部321的轴线对称设置。具体地，在拧动圆柱部321的过程中，操作人员的两个手指分别抵接在凸起322 上，形成一个力矩，从而使得圆柱部321的转动更为轻松容易。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个实施例中，参阅图1和图2所示，提供的该混凝土电化学阻抗模具的底座10包括用于承载测试块的承载板11和两个安装板12，两个安装板12分别安装于承载板11的相对两侧，两个导电挡板20位于两个安装板 12之间，两个安装板12设置有安装通孔(图未示)，各加固杆31一一对应地滑动穿设于各安装通孔内。具体地，承载板11用于承载测试块，并作为安装板 12的安装基体，安装板12作为加固杆31的安装基体，而加固杆31滑动穿设于安装板12上的安装通孔内，使得加固杆31可以沿着安装通孔移动，那么在螺旋加固件32与导电挡板20之间距离较大时，可以通过移动加固杆31，从而保证拧动螺旋加固件32能够抵紧在导电挡板20上，从而满足更小尺寸的测试块的测试需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在本申请的另一个实施例中，提供的该混凝土电化学阻抗模具的承载板11 的另一相对两侧分别设有固定挡板13，两个固定挡板13相对间隔设置，并均垂直于导电挡板20，两个导电挡板20均位于两个固定挡板13之间，导电挡板的两端分别抵接两个固定挡板13上。具体地，两侧导电挡板20在移动过程中，受到固定挡板13的导向作用，两侧导电挡板20移动稳定性好，避免导电挡板20歪斜而导致导电挡板20与测试块接触紧密性好，测试精度更高，同时，导电挡板20的移动操作更为简单。</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需要说明的是，本申请实施例的混凝土电化学阻抗模具适用于稳定的实验室环境内，测试块不会受到外力作用或者受到很小的外力，且螺旋加固件32抵紧在对应的导电挡板20上的作用力很小，并不会超过加固杆31与安装板12之间摩擦力，也就是说加固杆31不会在安装板12上滑动，而导致导电挡板20与测试块贴合不紧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在本申请的另一个实施例中，提供的该混凝土电化学阻抗模具的导电挡板 20背向放置区40的侧面设置有容置孔(图未示)；加固杆31包括依次连接的连接段、螺纹段和滑动段，螺旋紧固件螺接于螺纹段上，连接段用于插入容置孔，滑动段穿设于安装通孔内。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具体地，在导电挡板20与测试块接触后，加固杆31的连接段伸入导电挡板20的容置孔内，连接段可以起到支撑导电挡板20的作用，使得导电挡板20 与测试块的贴合更为紧密，螺纹段是指加固杆31上对应部分的外周壁设置有外螺纹，螺旋紧固件通过内螺纹孔与外螺纹配合，从而实现螺接，滑动段穿设于安装通孔内，从而实现相对于安装板12的移动，以靠近或者远离导电挡板20，满足更小尺寸的测试块的安装需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更具体地，连接段与容置孔间隙配合，连接段插入或者抽出容置孔操作更为容易，滑动段与安装通孔间隙配合，使得加固件的移动操作更为省时省力。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在本申请的另一个实施例中，提供的该混凝土电化学阻抗模具的连接段和滑动段均光杆段。具体地，连接段和滑动段上均不设置螺纹，其螺纹设置长度短，加固杆31的加工制作更为方便。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容置孔可以为通孔或者盲孔，当容置孔为盲孔时，加固杆31无法穿过导电挡板20进入放置区40内，而影响测试块的测试；当容置孔为通孔时，根据导电挡板20的厚度设置连接段的长度，使得连接段的长度小于导电挡板20的长度，从而避免连接段伸入放置区40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个实施例中，参阅图1和图2所示，提供的该混凝土电化学阻抗模具的两个导电挡板20均设置有用于外部电源电性连接的接头21。外部电源的正负极通过导线分别接上两侧导电挡板20上的接头21，从而实现测试块电性导通，以方便后续的分析计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在本申请的另一个实施例中，提供了一种混凝土电化学阻抗测试设备，包括上述的混凝土电化学阻抗模具。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本申请实施例的混凝土电化学阻抗测试设备，由于采用了上述的混凝土电化学阻抗模具，一方面，降低电流损失率，提高测试结果的精度；另一方面，两侧导电挡板20均能够相对移动，这样两个导电挡板20之间距离可以灵活调节，故可以满足小尺寸测试块的测试需求，且操作简便快捷，实验效率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以上仅为本申请的较佳实施例而已，并不用以限制本申请，凡在本申请的精神和原则之内所作的任何修改、等同替换和改进等，均应包含在本申请的保护范围之内。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234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228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1"/>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