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243840</wp:posOffset>
            </wp:positionV>
            <wp:extent cx="7559040" cy="1313815"/>
            <wp:effectExtent l="0" t="0" r="3810" b="635"/>
            <wp:wrapNone/>
            <wp:docPr id="1" name="图片 22" descr="C:\Users\Qimeng\Desktop\3333.png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C:\Users\Qimeng\Desktop\3333.png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 w:rsidRPr="000F1B27" w:rsidP="000F1B27">
      <w:pPr>
        <w:tabs>
          <w:tab w:val="left" w:pos="2400"/>
        </w:tabs>
        <w:jc w:val="center"/>
        <w:rPr>
          <w:color w:val="000000"/>
          <w:sz w:val="48"/>
          <w:szCs w:val="48"/>
        </w:rPr>
      </w:pPr>
      <w:bookmarkStart w:id="0" w:name="_GoBack"/>
      <w:r w:rsidRPr="000F1B27">
        <w:rPr>
          <w:noProof/>
          <w:color w:val="000000"/>
          <w:sz w:val="48"/>
          <w:szCs w:val="48"/>
        </w:rPr>
        <w:t>3D打印喷头</w:t>
      </w:r>
    </w:p>
    <w:p w:rsidR="000F1B27">
      <w:pPr>
        <w:tabs>
          <w:tab w:val="left" w:pos="2400"/>
        </w:tabs>
        <w:rPr>
          <w:rFonts w:ascii="宋体" w:hAnsi="宋体" w:cs="宋体" w:hint="eastAsia"/>
          <w:color w:val="000000"/>
          <w:sz w:val="22"/>
          <w:szCs w:val="22"/>
        </w:rPr>
      </w:pPr>
      <w:bookmarkEnd w:id="0"/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2876FB">
      <w:pPr>
        <w:tabs>
          <w:tab w:val="left" w:pos="2400"/>
        </w:tabs>
        <w:rPr>
          <w:rFonts w:hint="eastAsia"/>
        </w:rPr>
      </w:pPr>
    </w:p>
    <w:tbl>
      <w:tblPr>
        <w:tblStyle w:val="TableGrid"/>
        <w:tblW w:w="9354" w:type="dxa"/>
        <w:tblLayout w:type="fixed"/>
        <w:tblLook w:val="04A0"/>
      </w:tblPr>
      <w:tblGrid>
        <w:gridCol w:w="2476"/>
        <w:gridCol w:w="6878"/>
      </w:tblGrid>
      <w:tr>
        <w:tblPrEx>
          <w:tblW w:w="9354" w:type="dxa"/>
          <w:tblLayout w:type="fixed"/>
          <w:tblLook w:val="04A0"/>
        </w:tblPrEx>
        <w:trPr>
          <w:trHeight w:val="53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CN201921080272.1</w:t>
            </w:r>
            <w:r>
              <w:t xml:space="preserve"> 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20190710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申请（专利权）人：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[深圳大学]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广东省深圳市南山区南海大道3688号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发明人：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</w:pPr>
            <w:r>
              <w:t>[龙武剑, 林璨, 陶洁琳, 李金林, 彭俊凯]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主分类号：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B29C64/209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CN210174210U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20200324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代理机构：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深圳市明日今典知识产权代理事务所（普通合伙）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9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[王杰辉]</w:t>
            </w:r>
          </w:p>
        </w:tc>
      </w:tr>
    </w:tbl>
    <w:p w:rsidR="002876FB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1431290</wp:posOffset>
                </wp:positionV>
                <wp:extent cx="1914525" cy="34290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2876FB">
                            <w:pPr>
                              <w:rPr>
                                <w:rFonts w:ascii="微软雅黑" w:eastAsia="微软雅黑" w:hAnsi="微软雅黑" w:cs="微软雅黑"/>
                                <w:color w:val="BFBF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</w:rPr>
                              <w:t>www.patexplorer.com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height:27pt;margin-left:365.25pt;margin-top:112.7pt;mso-wrap-distance-bottom:0;mso-wrap-distance-left:9pt;mso-wrap-distance-right:9pt;mso-wrap-distance-top:0;mso-wrap-style:square;position:absolute;v-text-anchor:top;visibility:visible;width:150.75pt;z-index:251659264" filled="f" stroked="f" strokeweight="1.25pt">
                <v:textbox>
                  <w:txbxContent>
                    <w:p w:rsidR="002876FB">
                      <w:pPr>
                        <w:rPr>
                          <w:rFonts w:ascii="微软雅黑" w:eastAsia="微软雅黑" w:hAnsi="微软雅黑" w:cs="微软雅黑"/>
                          <w:color w:val="BFBF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</w:rPr>
                        <w:t>www.patexplorer.com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85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2376"/>
        <w:gridCol w:w="3305"/>
        <w:gridCol w:w="2841"/>
      </w:tblGrid>
      <w:tr>
        <w:tblPrEx>
          <w:tblW w:w="8522" w:type="dxa"/>
          <w:tblBorders>
            <w:top w:val="single" w:sz="12" w:space="0" w:color="000000"/>
            <w:bottom w:val="single" w:sz="12" w:space="0" w:color="000000"/>
          </w:tblBorders>
          <w:tblLayout w:type="fixed"/>
          <w:tblLook w:val="04A0"/>
        </w:tblPrEx>
        <w:tc>
          <w:tcPr>
            <w:tcW w:w="852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i/>
                <w:iCs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（19）中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30"/>
              </w:rPr>
              <w:t>华</w:t>
            </w: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人民共和国国家知识产权局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noProof/>
                <w:color w:val="000000"/>
                <w:sz w:val="30"/>
              </w:rPr>
              <w:drawing>
                <wp:inline distT="0" distB="0" distL="114300" distR="114300">
                  <wp:extent cx="914400" cy="762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nil"/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auto"/>
          </w:tcPr>
          <w:p w:rsidR="002876FB">
            <w:pPr>
              <w:jc w:val="center"/>
              <w:rPr>
                <w:rFonts w:ascii="宋体" w:hAnsi="宋体" w:cs="宋体"/>
                <w:color w:val="000000"/>
                <w:sz w:val="30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6146" w:type="dxa"/>
            <w:gridSpan w:val="2"/>
            <w:tcBorders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30"/>
              </w:rPr>
              <w:t>（12）实用新型专利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8522" w:type="dxa"/>
            <w:gridSpan w:val="3"/>
            <w:tcBorders>
              <w:right w:val="nil"/>
            </w:tcBorders>
            <w:shd w:val="clear" w:color="auto" w:fill="auto"/>
          </w:tcPr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（10）授权公告号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CN210174210U</w:t>
            </w:r>
          </w:p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（45）授权公告日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20200324</w:t>
            </w:r>
          </w:p>
        </w:tc>
      </w:tr>
    </w:tbl>
    <w:p w:rsidR="002876FB">
      <w:pPr>
        <w:rPr>
          <w:rFonts w:ascii="宋体" w:hAnsi="宋体" w:cs="宋体"/>
          <w:color w:val="000000"/>
          <w:sz w:val="10"/>
          <w:szCs w:val="10"/>
        </w:rPr>
      </w:pP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>
        <w:tblPrEx>
          <w:tblW w:w="8522" w:type="dxa"/>
          <w:tblLayout w:type="fixed"/>
          <w:tblLook w:val="04A0"/>
        </w:tblPrEx>
        <w:trPr>
          <w:trHeight w:val="4540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（21）申请号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CN201921080272.1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（22）申请日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20190710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（73）专利权人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[深圳大学]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地址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广东省深圳市南山区南海大道3688号</w:t>
            </w: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（72）发明人 </w:t>
            </w:r>
            <w:r>
              <w:rPr>
                <w:rFonts w:ascii="宋体" w:hAnsi="宋体" w:cs="宋体"/>
                <w:color w:val="000000"/>
                <w:sz w:val="22"/>
              </w:rPr>
              <w:t>[龙武剑, 林璨, 陶洁琳, 李金林, 彭俊凯]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（74）专利代理机构 </w:t>
            </w:r>
            <w:r>
              <w:rPr>
                <w:rFonts w:ascii="宋体" w:hAnsi="宋体" w:cs="宋体"/>
                <w:color w:val="000000"/>
                <w:sz w:val="22"/>
              </w:rPr>
              <w:t>深圳市明日今典知识产权代理事务所（普通合伙）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 代理人 </w:t>
            </w:r>
            <w:r>
              <w:rPr>
                <w:rFonts w:ascii="宋体" w:hAnsi="宋体" w:cs="宋体"/>
                <w:color w:val="000000"/>
                <w:sz w:val="22"/>
              </w:rPr>
              <w:t>[王杰辉]</w:t>
            </w:r>
          </w:p>
        </w:tc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rPr>
          <w:trHeight w:val="938"/>
        </w:trPr>
        <w:tc>
          <w:tcPr>
            <w:tcW w:w="4261" w:type="dxa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（54）实用新型名称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3D打印喷头</w:t>
            </w:r>
          </w:p>
        </w:tc>
        <w:tc>
          <w:tcPr>
            <w:tcW w:w="4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98.75pt;width:187.5pt">
                  <v:imagedata r:id="rId8" o:title=""/>
                </v:shape>
              </w:pict>
            </w:r>
          </w:p>
        </w:tc>
      </w:tr>
      <w:tr>
        <w:tblPrEx>
          <w:tblW w:w="8522" w:type="dxa"/>
          <w:tblLayout w:type="fixed"/>
          <w:tblLook w:val="04A0"/>
        </w:tblPrEx>
        <w:trPr>
          <w:trHeight w:val="5384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（57）摘要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本实用新型提出一种3D打印喷头，所述喷头包括：连接环和大小不同的多个调节环；所述连接环内部设有圆形通道，所述连接环上部连接3D打印机；多个所述调节环依次可拆卸连接，且多个所述调节环的内部连接形成锥形管道，所述锥形管道中最大的一端与所述连接环的下端可拆卸连接，且所述锥形管道与所述圆形通道相适配。打印时可通过增加或减少调节环调节喷头的打印直径，使得打印出的浆料的直径能够满足各类结构构件的结构及尺寸要求。</w:t>
            </w:r>
          </w:p>
        </w:tc>
        <w:tc>
          <w:tcPr>
            <w:tcW w:w="4261" w:type="dxa"/>
            <w:vMerge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876FB">
      <w:pPr>
        <w:rPr>
          <w:rFonts w:ascii="宋体" w:hAnsi="宋体" w:cs="宋体"/>
          <w:b/>
          <w:color w:val="000000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权 利 要 求 书</w:t>
            </w:r>
          </w:p>
        </w:tc>
      </w:tr>
    </w:tbl>
    <w:p w:rsidR="002876FB">
      <w:pPr>
        <w:ind w:firstLine="480" w:firstLineChars="200"/>
        <w:rPr>
          <w:rFonts w:ascii="宋体" w:hAnsi="宋体" w:cs="宋体"/>
          <w:b/>
          <w:color w:val="000000"/>
          <w:sz w:val="32"/>
        </w:rPr>
      </w:pPr>
      <w:r>
        <w:rPr>
          <w:rFonts w:ascii="宋体" w:hAnsi="宋体" w:cs="宋体"/>
          <w:color w:val="000000"/>
          <w:sz w:val="22"/>
          <w:szCs w:val="22"/>
        </w:rPr>
        <w:t>1.一种3D打印喷头，其特征在于，所述喷头包括：连接环和大小不同的多个调节环；所述连接环内部设有圆形通道，所述连接环上部连接3D打印机；多个所述调节环依次可拆卸连接，且多个所述调节环的内部连接形成锥形管道，所述锥形管道中最大的一端与所述连接环的下端可拆卸连接，且所述锥形管道与所述圆形通道相适配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根据权利要求1所述的3D打印喷头，其特征在于，所述连接环的圆形通道上下两端设有螺纹，所述连接环与3D打印机螺纹连接；所述调节环上下两端均设有螺纹，所述调节环与所述连接环螺纹连接，所述调节环之间螺纹连接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3.根据权利要求1所述的3D打印喷头，其特征在于，所述调节环之间卡扣连接，所述调节环与所述连接环螺纹连接或者卡扣连接。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4.根据权利要求1所述的3D打印喷头，其特征在于，所述调节环为5个，各个所述调节环的出料口直径分别为10mm、20mm、30mm、40mm、50mm。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5.根据权利要求2所述的3D打印喷头，其特征在于，所述连接环与3D打印机的螺纹连接口设有橡胶环。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6.根据权利要求1所述的3D打印喷头，其特征在于，每个所述调节环为中空圆台状。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7.根据权利要求6所述的3D打印喷头，其特征在于，所述调节环为厚度均匀的中空圆台，厚度为1-3mm。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b/>
          <w:color w:val="000000"/>
          <w:sz w:val="3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说 明 书</w:t>
            </w:r>
          </w:p>
        </w:tc>
      </w:tr>
    </w:tbl>
    <w:p w:rsidR="002876FB">
      <w:pPr>
        <w:ind w:firstLine="480" w:firstLineChars="200"/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6"/>
          <w:szCs w:val="22"/>
        </w:rPr>
        <w:t>3D打印喷头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6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技术领域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本实用新型涉及到3D打印领域，特别是涉及到一种3D打印喷头。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背景技术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目前，在运用3D打印机时，会涉及到打印不同的结构及尺寸要求，需要通过改变喷头的口径来控制打印浆体的直径，而3D打印浆体的喷头出料口径有很多种，如5cm、4cm、3cm、2cm、1cm等。但是每个喷头基本只能提供一种出料口径，所以在需要进行口径变化时需要通过更换喷头才能调节浆体直径。对仪器来说，频繁的更换喷头会不断的磨损喷头与打印机的接口与连接处；而对实验者来说，频繁的更换喷头不利于保证喷头与打印机连接口的密闭连接，多次更换喷头会对实验操作带来很大的不利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实用新型内容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本实用新型的主要目的为提供一种3D打印喷头，解决不需要更换喷头也能调节浆体直径的问题。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提出一种3D打印喷头，所述喷头包括：连接环和大小不同的多个调节环；所述连接环内部设有圆形通道，所述连接环上部连接3D打印机；多个所述调节环依次可拆卸连接，且多个所述调节环的内部连接形成锥形管道，所述锥形管道中最大的一端与所述连接环的下端可拆卸连接，且所述锥形管道与所述圆形通道相适配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进一步地，所述连接环的圆形通道上下两端设有螺纹，所述连接环与3D 打印机螺纹连接；所述调节环上下两端均设有螺纹，所述调节环与所述连接环螺纹连接，所述调节环之间螺纹连接。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进一步地，所述调节环之间卡扣连接，所述调节环与所述连接环螺纹连接或者卡扣连接。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进一步地，所述调节环为5个，各个所述调节环的出料口直径分别为10mm、20mm、30mm、40mm、50mm。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进一步地，所述连接环与3D打印机的螺纹连接口设有橡胶环。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进一步地，单个所述调节环中空圆台状。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进一步地，所述调节环为厚度均匀的中空圆台，厚度为1-3mm。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提出一种3D打印喷头，所述喷头包括：连接环和大小不同的多个调节环；所述连接环内部设有圆形通道，所述连接环上部连接3D打印机；多个所述调节环依次可拆卸连接，且多个所述调节环的内部连接形成锥形管道，所述锥形管道中最大的一端与所述连接环的下端可拆卸连接，且所述锥形管道与所述圆形通道相适配。打印时可通过增加或减少调节环调节喷头的打印直径，使得打印出的浆料的直径能够满足各类结构构件的结构及尺寸要求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附图说明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图1为本实用新型3D打印喷头一实施例的结构示意图；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图2为本实用新型一实施例的单个调节环的结构示意图；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图3为本实用新型一实施例的卡扣结构示意图。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本实用新型目的的实现、功能特点及优点将结合实施例，参照附图做进一步说明。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具体实施方式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应当理解，此处所描述的具体实施例仅仅用以解释本实用新型，并不用于限定本实用新型。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参照图1，本实用新型实施例提出一种3D打印喷头，所述喷头包括：所述喷头包括：连接环2和大小不同的多个调节环5；所述连接环2内部设有圆形通道3，所述连接环2上部连接3D打印机；多个所述调节环5依次可拆卸连接，且多个所述调节环5的内部连接形成锥形管道，所述锥形管道中最大的一端与所述连接环2的下端可拆卸连接，且所述锥形管道与所述圆形通道3 相适配。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在本实施例中，多个调节环5可以是特大口径调节环5、大口径调节环5、中口径调节环5、小口径调节环5以及特小口径调节环5五种型号，如分别为25mm、20mm、15mm、10mm、5mm。多个调节环5通过底部外侧的螺纹相连接。使用时，通过增加或减少调节环5来改变3D打印浆体的直径。其中，在增加调节环5时，打印浆体的直径变小，减少调节环5时，打印浆体的直径变大。本实用新型在工作时的调节过程为：在3D打印浆体通过打印机进入喷头后，通过喷头内壁的挤压使浆体更为致密并达到喷头出口的直径。在打印过程中需要变更浆体直径的时候，只需暂停打印，然后在喷头口增、减调节环5，从而改变喷头出口的直径，以达到控制3D打印浆体直径的目的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可选的，所述连接环2的圆形通道3上下两端设有螺纹，所述连接环2 与3D打印机螺纹连接；所述调节环5上下两端均设有螺纹，所述调节环5与所述连接环2螺纹连接，所述调节环5之间螺纹连接。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可选的，所述调节环5之间卡扣连接，所述调节环5与所述连接环2螺纹连接或者卡扣连接。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在一个实施例中，所述调节环5为内壁光滑，外壁靠近出料口端为光滑，靠近进料口一端设有防滑条纹。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在本实施例中，调节环5为内壁光滑，使得在打印时出料顺畅，不易使喷头堵塞，而外壁靠近进料口一端设有防滑条纹使得调节环5在拆卸时不易打滑。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可选的，所述调节环5为5个，各个所述调节环5的出料口直径分别为 10mm、20mm、30mm、40mm、50mm。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可选的，单个所述调节环中空圆台状。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可选的，所述调节环为厚度均匀的中空圆台，厚度为1-3mm。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在一个实施例中，所述连接环2与3D打印机的螺纹连接口4设有橡胶环 1。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在本实施例中，在连接环2的上端与3D打印机的连接处设有一圈橡胶与打印机相连接形成密闭的接口，可以使3D打印机与喷头连接更为紧密，以避免在打印过程中浆体的泄漏；进一步地，本实用新型中的所有螺纹连接口4 也可以设置橡胶环1，达到同样避免在打印过程中浆体的泄漏的效果。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本实用新型提出一种3D打印喷头，所述喷头包括：连接环2和大小不同的多个调节环5；所述连接环2内部设有圆形通道3，所述连接环2上部连接 3D打印机；多个所述调节环5依次可拆卸连接，且多个所述调节环5的内部连接形成锥形管道，所述锥形管道中最大的一端与所述连接环2的下端可拆卸连接，且所述锥形管道与所述圆形通道3相适配。打印时可通过调节环5 调节喷头的打印直径，使得打印出的浆料的直径能够满足各类结构构件的结构及尺寸要求。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以上所述仅为本实用新型的优选实施例，并非因此限制本实用新型的专利范围，凡是利用本实用新型说明书及附图所作的等效结构或等效流程变换，或直接或间接运用在其他相关的技术领域，均同理包括在本实用新型的专利保护范围内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说 明 书 附 图</w:t>
            </w:r>
          </w:p>
        </w:tc>
      </w:tr>
    </w:tbl>
    <w:p w:rsidR="002876FB"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7" type="#_x0000_t75" style="height:398.25pt;width:375pt">
            <v:imagedata r:id="rId9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8" type="#_x0000_t75" style="height:249.75pt;width:375pt">
            <v:imagedata r:id="rId10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9" type="#_x0000_t75" style="height:252pt;width:375pt">
            <v:imagedata r:id="rId11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sectPr>
      <w:footerReference w:type="default" r:id="rId12"/>
      <w:pgSz w:w="11906" w:h="16838"/>
      <w:pgMar w:top="1440" w:right="1800" w:bottom="1440" w:left="1800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6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F1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9264" filled="f" stroked="f">
              <v:textbox style="mso-fit-shape-to-text:t" inset="0,0,0,0">
                <w:txbxContent>
                  <w:p w:rsidR="00287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F1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 w:qFormat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">
    <w:name w:val="批注框文本 字符"/>
    <w:link w:val="BalloonText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  <w:style w:type="paragraph" w:customStyle="1" w:styleId="1">
    <w:name w:val="无间隔1"/>
    <w:link w:val="a2"/>
    <w:uiPriority w:val="1"/>
    <w:qFormat/>
    <w:rPr>
      <w:rFonts w:ascii="Calibri" w:hAnsi="Calibri"/>
      <w:sz w:val="22"/>
      <w:szCs w:val="22"/>
    </w:rPr>
  </w:style>
  <w:style w:type="character" w:customStyle="1" w:styleId="a2">
    <w:name w:val="无间隔 字符"/>
    <w:link w:val="1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564F-4946-47A1-9AAA-7EDF50A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（19）中国人民共和国国家知识产权局</dc:title>
  <dc:creator>王彬彬</dc:creator>
  <cp:keywords>PubNum</cp:keywords>
  <cp:lastModifiedBy>dz-pc</cp:lastModifiedBy>
  <cp:revision>60</cp:revision>
  <dcterms:created xsi:type="dcterms:W3CDTF">2014-06-10T08:23:00Z</dcterms:created>
  <dcterms:modified xsi:type="dcterms:W3CDTF">2017-04-19T07:52:00Z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