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一种肢体功能康复用护理服</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CN202021451024.6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20200721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广东省深圳市南山区南海大道3688号深圳大学师范学院B-418室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[王晓东]</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A41D13/12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CN213045421U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20210427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深圳快马专利商标事务所（普通合伙）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[赵亮, 刘朗星]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CN213045421U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20210427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CN202021451024.6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广东省深圳市南山区南海大道3688号深圳大学师范学院B-418室</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[王晓东]</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深圳快马专利商标事务所（普通合伙）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[赵亮, 刘朗星]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一种肢体功能康复用护理服</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6.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肢体功能康复用护理服，涉及康复护理技术领域，包括护理上衣和护理长裤，所述护理上衣的两侧均缝合有肩带口，所述肩带口的一侧表面缝合有第一拉链，所述第一拉链的表面啮合有第一拉环，所述肩带口通过第一拉链连接有衣袖，衣袖的表面设置有上贴合部，上贴合部的两侧均缝合有位于衣袖表面的上粘接条，护理长裤的顶部缝合有腰带，所述护理长裤两个裤腿的表面设置有下贴合部，下贴合部的两侧均缝合有位于护理长裤两个裤腿表面的下粘接条。该肢体功能康复用护理服，通过设置药贴包，药贴包中设置有药贴包裹袋，药贴包裹袋可以放置有用于促进患者的肌肉组织的血液循环的温热贴或磁疗贴，并使用粘接带和粘接条将药贴包进行绑定。</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肢体功能康复用护理服，包括护理上衣(1)和护理长裤(2)，其特征在于：所述护理上衣(1)的两侧均缝合有肩带口(4)，所述肩带口(4)的一侧表面缝合有第一拉链(6)，所述第一拉链(6)的表面啮合有第一拉环(7)，所述肩带口(4)通过第一拉链(6)连接有衣袖(5)，所述衣袖(5)的表面设置有上贴合部(8)，所述上贴合部(8)的两侧均缝合有位于衣袖(5)表面的上粘接条(9)；</w:t>
      </w:r>
    </w:p>
    <w:p>
      <w:pPr>
        <w:ind w:firstLine="480" w:firstLineChars="200"/>
        <w:rPr>
          <w:rFonts w:ascii="宋体" w:hAnsi="宋体" w:cs="宋体"/>
          <w:color w:val="000000"/>
          <w:sz w:val="22"/>
          <w:szCs w:val="22"/>
        </w:rPr>
      </w:pPr>
      <w:r>
        <w:rPr>
          <w:rFonts w:ascii="宋体" w:hAnsi="宋体" w:cs="宋体"/>
          <w:color w:val="000000"/>
          <w:sz w:val="22"/>
          <w:szCs w:val="22"/>
        </w:rPr>
        <w:t>所述护理长裤(2)的顶部缝合有腰带(12)，所述护理长裤(2)两个裤腿的表面设置有下贴合部(13)，所述下贴合部(13)的两侧均缝合有位于护理长裤(2)两个裤腿表面的下粘接条(14)；</w:t>
      </w:r>
    </w:p>
    <w:p>
      <w:pPr>
        <w:ind w:firstLine="480" w:firstLineChars="200"/>
        <w:rPr>
          <w:rFonts w:ascii="宋体" w:hAnsi="宋体" w:cs="宋体"/>
          <w:color w:val="000000"/>
          <w:sz w:val="22"/>
          <w:szCs w:val="22"/>
        </w:rPr>
      </w:pPr>
      <w:r>
        <w:rPr>
          <w:rFonts w:ascii="宋体" w:hAnsi="宋体" w:cs="宋体"/>
          <w:color w:val="000000"/>
          <w:sz w:val="22"/>
          <w:szCs w:val="22"/>
        </w:rPr>
        <w:t>所述上贴合部(8)和下贴合部(13)的表面均设置有药贴包(3)，所述药贴包(3)包括有助于患者康复的药贴包裹袋(301)，所述药贴包裹袋(301)缝合位于药贴包(3)的内侧，所述药贴包(3)的表面设置有连接条(304)，所述连接条(304)的内部缝合有第二拉链(305)，所述第二拉链(305)上啮合有用于闭合药贴包裹袋(301)的第二拉环(306)。</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2.根据权利要求1所述的一种肢体功能康复用护理服，其特征在于：所述护理上衣(1)的顶部设置有领口(10)，所述领口(10)的开口为低领开口设计，为患者提供宽松的衣着体验。</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3.根据权利要求1所述的一种肢体功能康复用护理服，其特征在于：所述护理上衣(1)的表面使用多个纽扣(11)进行扣合，患者可以根据自身舒适度选择纽扣(11)的扣合个数。</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4.根据权利要求1所述的一种肢体功能康复用护理服，其特征在于：所述上贴合部(8)和下贴合部(13)均为材质轻薄的布料织成，用以贴合药贴包裹袋(301)，药贴包裹袋(301)中的药贴药性可以被患者吸收。</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5.根据权利要求1所述的一种肢体功能康复用护理服，其特征在于：所述药贴包裹袋(301)的内部可以放置有温热贴，用于提供温热刺激，促进上贴合部(8)和下贴合部(13)所在位置的骨骼肌的血液循环。</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6.根据权利要求1所述的一种肢体功能康复用护理服，其特征在于：所述药贴包裹袋(301)的内部可以放置有磁疗贴，用于提供磁疗刺激，促进上贴合部(8)和下贴合部(13)所在位置的骨骼肌的血液循环。</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一种肢体功能康复用护理服，其特征在于：所述药贴包(3)表面的两侧分别缝合有左粘接带(302)和右粘接带(303)，所述左粘接带(302)和右粘接带(303)可以粘接在上粘接条(9)和下粘接条(14)上对药贴包(3)进行绑定。</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一种肢体功能康复用护理服</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本实用新型涉及康复护理技术领域，具体为一种肢体功能康复用护理服。</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肌肉组织的废用性萎缩一直是人们普遍关注和重视的问题。大量研究资料表明：运动减退、制动或肌肉去负荷可使骨骼肌发生明显的废用性萎缩。肌肉萎缩对于肌力、运动耐力以及日常生活都会产生较大的影响，它给临床患者的日常活动能力带来了很多不便。如何迅速缓解肌肉萎缩、恢复运动能力是临床医学、运动医学及等领域需要认真研究和亟待解决的重要课题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现有技术中，康复用的护理服装一般只是便于患者进行身体检查，服装多是为了提供患者例行检查的方便，但是并没有促进患者的肌肉组织的血液循环。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为此，我们提出了一种肢体功能康复用护理服来解决上述问题。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本实用新型提供了一种肢体功能康复用护理服，具备促进患者的肌肉组织的血液循环的优点，以解决上述背景技术中所提出的问题。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促进患者的肌肉组织的血液循环的目的，本实用新型提供如下技术方案：一种肢体功能康复用护理服，包括护理上衣和护理长裤，所述护理上衣的两侧均缝合有肩带口，所述肩带口的一侧表面缝合有第一拉链，所述第一拉链的表面啮合有第一拉环，所述肩带口通过第一拉链连接有衣袖，所述衣袖的表面设置有上贴合部，所述上贴合部的两侧均缝合有位于衣袖表面的上粘接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所述护理长裤的顶部缝合有腰带，所述护理长裤两个裤腿的表面设置有下贴合部，所述下贴合部的两侧均缝合有位于护理长裤两个裤腿表面的下粘接条；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上贴合部和下贴合部的表面均设置有药贴包，所述药贴包包括有助于患者康复的药贴包裹袋，所述药贴包裹袋缝合位于药贴包的内侧，所述药贴包的表面设置有连接条，所述连接条的内部缝合有第二拉链，所述第二拉链上啮合有用于闭合药贴包裹袋的第二拉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作为本实用新型的一种优选技术方案，所述护理上衣的顶部设置有领口，所述领口的开口为低领开口设计，为患者提供宽松的衣着体验。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作为本实用新型的一种优选技术方案，所述护理上衣的表面使用多个纽扣进行扣合，患者可以根据自身舒适度选择纽扣的扣合个数。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作为本实用新型的一种优选技术方案，所述上贴合部和下贴合部均为材质轻薄的布料织成，用以贴合药贴包裹袋，药贴包裹袋中的药贴药性可以被患者吸收。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作为本实用新型的一种优选技术方案，所述药贴包裹袋的内部可以放置有温热贴，用于提供温热刺激，促进上贴合部和下贴合部所在位置的骨骼肌的血液循环。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作为本实用新型的一种优选技术方案，所述药贴包裹袋的内部可以放置有磁疗贴，用于提供磁疗刺激，促进上贴合部和下贴合部所在位置的骨骼肌的血液循环。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作为本实用新型的一种优选技术方案，述药贴包表面的两侧分别缝合有左粘接带和右粘接带，所述左粘接带和右粘接带可以粘接在上粘接条和下粘接条上对药贴包进行绑定。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与现有技术相比，本实用新型提供了一种肢体功能康复用护理服，具备以下有益效果：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肢体功能康复用护理服，通过设置药贴包，药贴包中设置有药贴包裹袋，药贴包裹袋可以放置有用于促进患者的肌肉组织的血液循环的温热贴或磁疗贴，并使用粘接带和粘接条将药贴包进行绑定，使得该肢体功能康复用护理服可以促进上贴合部和下贴合部所在位置的骨骼肌的血液循环，保证了该肢体功能康复用护理服的使用效果。</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图1为本实用新型的护理上衣的结构示意图；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图2为本实用新型的护理长裤的结构示意图；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图3为本实用新型的药贴包的结构示意图；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图4为本实用新型的图1中的A部局部方法结构示意图。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护理上衣；2、护理长裤；3、药贴包；301、药贴包裹袋；302、左粘接带；303、右粘接带；304、连接条；305、第二拉链；306、第二拉环；4、肩带口；5、衣袖；6、第一拉链；7、第一拉环；8、上贴合部；9、上粘接条；10、领口；11、纽扣；12、腰带；13、下贴合部；14、下粘接条。</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-4，一种肢体功能康复用护理服，包括护理上衣1和护理长裤2，所述护理上衣1的两侧均缝合有肩带口4，所述肩带口4的一侧表面缝合有第一拉链6，所述第一拉链6的表面啮合有第一拉环7，所述肩带口4通过第一拉链6连接有衣袖5，只需拉动第一拉环7将衣袖5脱下，便于患者在检查时方便将手臂露出，所述衣袖5的表面设置有上贴合部8，所述上贴合部8的两侧均缝合有位于衣袖5表面的上粘接条9；</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所述护理长裤2的顶部缝合有腰带12，所述护理长裤2两个裤腿的表面设置有下贴合部13，所述下贴合部13的两侧均缝合有位于护理长裤2两个裤腿表面的下粘接条14；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上贴合部8和下贴合部13的表面均设置有药贴包3，所述药贴包3包括有助于患者康复的药贴包裹袋301，所述药贴包裹袋301缝合位于药贴包3的内侧，所述药贴包3的表面设置有连接条304，所述连接条304的内部缝合有第二拉链305，所述第二拉链305上啮合有用于闭合药贴包裹袋301的第二拉环306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作为本实施例的一种实施方式，所述护理上衣1的顶部设置有领口10，所述领口10的开口为低领开口设计，为患者提供宽松的衣着体验。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作为本实施例的一种实施方式，所述护理上衣1的表面使用多个纽扣11进行扣合，患者可以根据自身舒适度选择纽扣11的扣合个数。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作为本实施例的一种实施方式，所述上贴合部8和下贴合部13均为材质轻薄的布料织成，用以贴合药贴包裹袋301，药贴包裹袋301中的药贴药性可以被患者吸收。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作为本实施例的一种实施方式，所述药贴包裹袋301的内部可以放置有温热贴，用于提供温热刺激，促进上贴合部8和下贴合部13所在位置的骨骼肌的血液循环。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作为本实施例的一种实施方式，所述药贴包3表面的两侧分别缝合有左粘接带302和右粘接带303，所述左粘接带302和右粘接带303可以粘接在上粘接条9和下粘接条14上对药贴包3进行绑定。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肢体功能康复用护理服，包括护理上衣1和护理长裤2，所述护理上衣1的两侧均缝合有肩带口4，所述肩带口4的一侧表面缝合有第一拉链6，所述第一拉链6的表面啮合有第一拉环7，所述肩带口4通过第一拉链6连接有衣袖5，只需拉动第一拉环7将衣袖5脱下，便于患者在检查时方便将手臂露出，所述衣袖5的表面设置有上贴合部8，所述上贴合部8的两侧均缝合有位于衣袖5表面的上粘接条9；</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所述护理长裤2的顶部缝合有腰带12，所述护理长裤2两个裤腿的表面设置有下贴合部13，所述下贴合部13的两侧均缝合有位于护理长裤2两个裤腿表面的下粘接条14；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上贴合部8和下贴合部13的表面均设置有药贴包3，所述药贴包3包括有助于患者康复的药贴包裹袋301，所述药贴包裹袋301缝合位于药贴包3的内侧，所述药贴包3的表面设置有连接条304，所述连接条304的内部缝合有第二拉链305，所述第二拉链305上啮合有用于闭合药贴包裹袋301的第二拉环306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作为本实施例的一种实施方式，所述护理上衣1的顶部设置有领口10，所述领口10的开口为低领开口设计，为患者提供宽松的衣着体验。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作为本实施例的一种实施方式，所述护理上衣1的表面使用多个纽扣11进行扣合，患者可以根据自身舒适度选择纽扣11的扣合个数。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作为本实施例的一种实施方式，所述上贴合部8和下贴合部13均为材质轻薄的布料织成，用以贴合药贴包裹袋301，药贴包裹袋301中的药贴药性可以被患者吸收。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作为本实施例的一种实施方式，所述药贴包裹袋301的内部可以放置有磁疗贴，用于提供磁疗刺激，促进上贴合部8和下贴合部13所在位置的骨骼肌的血液循环。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作为本实施例的一种实施方式，所述药贴包3表面的两侧分别缝合有左粘接带302和右粘接带303，所述左粘接带302和右粘接带303可以粘接在上粘接条9和下粘接条14上对药贴包3进行绑定。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该肢体功能康复用护理服，通过设置药贴包3，药贴包3中设置有药贴包裹袋301，药贴包裹袋301可以放置有用于促进患者的肌肉组织的血液循环的温热贴或磁疗贴，并使用粘接带和粘接条将药贴包3进行绑定，使得该肢体功能康复用护理服可以促进上贴合部8和下贴合部13所在位置的骨骼肌的血液循环，保证了该肢体功能康复用护理服的使用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在本文中，诸如术语“包括”、“包含”或者其任何其他变体意在涵盖非排他性的包含，从而使得包括一系列要素的过程、方法、物品或者设备不仅包括那些要素，而且还包括没有明确列出的其他要素，或者是还包括为这种过程、方法、物品或者设备所固有的要素。在没有更多限制的情况下，由语句“包括一个……”限定的要素，并不排除在包括所述要素的过程、方法、物品或者设备中还存在另外的相同要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尽管已经示出和描述了本实用新型的实施例，对于本领域的普通技术人员而言，可以理解在不脱离本实用新型的原理和精神的情况下可以对这些实施例进行多种变化、修改、替换和变型，本实用新型的范围由所附权利要求及其等同物限定。</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15.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54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55.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546.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