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一种非晶合金丝带生产用收卷装置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CN201822221602.6</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20181228</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[谢盛辉, 林梓彬, 肖春林]</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B65H18/10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CN209352283U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20190906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广州汇航专利代理事务所（普通合伙）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[张静]</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CN209352283U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20190906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CN201822221602.6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20181228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[谢盛辉, 林梓彬, 肖春林]</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广州汇航专利代理事务所（普通合伙）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[张静]</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一种非晶合金丝带生产用收卷装置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86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非晶合金丝带生产用收卷装置，包括机架，所述机架上安装有收卷电机，所述收卷电机的输出轴上连接有收卷辊，所述收卷辊的一端通过轴承座安装在所述机架上，所述收卷辊上拆卸式地套装有卷芯，所述收卷辊的另一端通过半圆形轴承座连接有支撑柱，所述支撑柱通过滑动块连接有滑动机构，所述收卷辊的一旁安装有清洁机构，所述清洁机构一旁安装有限位机构。本实用新型可对带材表面进行清洁，便于更换卷芯。</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非晶合金丝带生产用收卷装置，包括机架(1)，所述机架(1)上安装有收卷电机(2)，其特征在于：所述收卷电机(2)的输出轴上连接有收卷辊(31)，所述收卷辊(31)的一端通过轴承座(11)安装在所述机架(1)上，所述收卷辊(31)上拆卸式地套装有卷芯(32)，所述收卷辊(31)的另一端通过半圆形轴承座(41)连接有支撑柱(42)，所述支撑柱(42)通过滑动块(71)连接有滑动机构，所述收卷辊(31)的一旁安装有清洁机构(5)，所述清洁机构(5)一旁安装有限位机构(6)。</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2.根据权利要求1所述一种非晶合金丝带生产用收卷装置，其特征在于：所述收卷辊(31)外壁开设有数个成圆周设置的卡接通槽(311)。</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一种非晶合金丝带生产用收卷装置，其特征在于：所述卷芯(32)为中空圆柱体结构，所述卷芯(32)的内壁设置有与所述卡接通槽(311)相适配的凸条(321)，所述卷芯(32)通过所述卡接通槽(311)和凸条(321)套装在所述收卷辊(31)上，所述卷芯(32)外壁开设有槽口倾斜的通槽(322)，所述通槽(322)连通有固定槽(323)，所述固定槽(323)的宽度与带材(8)的厚度相适配。</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一种非晶合金丝带生产用收卷装置，其特征在于：所述滑动机构包括底座(7)，所述底座(7)上安装有滑动电机(72)，所述滑动电机(72)的输出轴连接有丝杆(73)，所述丝杆(73)的两端分别通过固定块(74)安装在所述底座(7)上，所述丝杆(73)的两侧分别安装有滑杆(75)，所述滑杆(75)的两端分别与所述固定块(74)连接，所述滑动块(71)套装在所述丝杆(73)和滑杆(75)上，并沿所述丝杆(73)和滑杆(75)移动。</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一种非晶合金丝带生产用收卷装置，其特征在于：所述清洁机构(5)包括上固定板(51)，所述上固定板(51)上安装有清洁电机(52)，所述清洁电机(52)的输出轴贯穿所述上固定板(51)并连接有转动轴(53)，所述转动轴(53)的下端与下固定板(54)转动连接，所述转动轴(53)上固定套装有第一齿轮(55)和第二齿轮(56)，所述第一齿轮(55)通过第一链条(57)连接有上齿轮(58)，所述上齿轮(58)固定套装在上转轴(59)上，所述上转轴(59)的上端与所述上固定板(51)转动连接，所述上转轴(59)的下端固定连接有上转盘(60)，所述上转盘(60)的下端面设置有清洁软刷(91)，所述第二齿轮(56)通过第二链条(92)连接有下齿轮，所述下齿轮固定套装在下转轴(93)上，所述下转轴(93)的上端固定连接有下转盘(94)，所述下转盘(94)的上端面设置有所述清洁软刷(91)，所述下转轴(93)的下端与所述下固定板(54)转动连接。</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一种非晶合金丝带生产用收卷装置，其特征在于：限位机构(6)设置有两个，两个所述限位机构(6)前后平行设置，两个所述限位机构包括支撑架(61)，所述支撑架(61)上安装有两个上下平行设置的限位辊(62)，两个所述限位辊(62)之间存在通道。</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一种非晶合金丝带生产用收卷装置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本实用新型涉及收卷设备技术领域，具体为一种非晶合金丝带生产用收卷装置。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非晶合金是由于急冷凝固，合金凝固时原子来不及有序排列结晶，得到的固态合金是长程无序结构，没有晶态合金的晶粒、晶界存在的材料，非晶合金具有优异的软磁特性，同时又具有很高的机械强度、好的韧性及耐磨性，成为使用广泛的电磁屏蔽材料，非晶合金带材具有优异的力学性能和耐腐蚀特性，主要用作结构材料，生产非晶合金带材过程中，将原料经熔炉冶炼后装入盛钢包，盛钢包中的材料经辊模制冷却后形成非晶合金带材，非晶合金带材经收卷设备制成卷状成品，现有的非晶合金带材在收卷的过程中，由于带材表面带有灰尘或细小颗粒，灰尘或细小颗粒与带材收卷在一起时，可能会导致带材表面造成划伤，出现凹坑或刮痕，降低非晶合金带材表面的光洁度和使用性能，造成浪费。</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本实用新型针对上述现有技术存在的问题，提供一种在收卷前可对带材表面进行清洁的非晶合金丝带生产用收卷装置。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以上目的，本实用新型通过以下技术方案予以实现：一种非晶合金丝带生产用收卷装置，包括机架，所述机架上安装有收卷电机，所述收卷电机的输出轴上连接有收卷辊，所述收卷辊的一端通过轴承座安装在所述机架上，所述收卷辊上拆卸式地套装有卷芯，所述收卷辊的另一端通过半圆形轴承座连接有支撑柱，所述支撑柱通过滑动块连接有滑动机构，所述收卷辊的一旁安装有清洁机构，所述清洁机构一旁安装有限位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进一步地：所述收卷辊外壁开设有数个成圆周设置的卡接通槽。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卷芯为中空圆柱体结构，所述卷芯的内壁设置有与所述卡接通槽相适配的凸条，所述卷芯通过所述卡接通槽和凸条套装在所述收卷辊上，所述卷芯外壁开设有槽口倾斜的通槽，所述通槽连通有固定槽，所述固定槽的宽度与带材的厚度相适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滑动机构包括底座，所述底座上安装有滑动电机，所述滑动电机的输出轴连接有丝杆，所述丝杆的两端分别通过固定块安装在所述底座上，所述丝杆的两侧分别安装有滑杆，所述滑杆的两端分别与所述固定块连接，所述滑动块套装在所述丝杆和滑杆上，并沿所述丝杆和滑杆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清洁机构包括上固定板，所述上固定板上安装有清洁电机，所述清洁电机的输出轴贯穿所述上固定板并连接有转动轴，所述转动轴的下端与下固定板转动连接，所述转动轴上固定套装有第一齿轮和第二齿轮，所述第一齿轮通过第一链条连接有上齿轮，所述上齿轮固定套装在上转轴上，所述上转轴的上端与所述上固定板转动连接，所述上转轴的下端固定连接有上转盘，所述上转盘的下端面设置有清洁软刷，所述第二齿轮通过第二链条连接有下齿轮，所述下齿轮固定套装在下转轴上，所述下转轴的上端固定连接有下转盘，所述下转盘的上端面设置有所述清洁软刷，所述下转轴的下端与所述下固定板转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进一步地：限位机构设置有两个，两个所述限位机构前后平行设置，两个所述限位机构包括支撑架，所述支撑架上安装有两个上下平行设置的限位辊，两个所述限位辊之间存在通道。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本实用新型的有益效果：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通过在收卷辊的一旁安装清洁机构，通过清洁机构，可对带材的上端面和下端面的灰尘或细小颗粒进行清洁，防止灰尘或细小颗粒附着在带材表面，避免收卷时细小颗粒划伤带材表面或导致带材表面出现凹坑，将卷芯通过卡接通槽和凸条套装在收卷辊上，便于安装和拆卸卷芯。</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图1和图2为本实用新型结构示意图；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图3为收卷辊结构示意图；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图4为卷芯结构示意图。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图中：1-机架，11-轴承座，2-收卷电机，31-收卷辊，311-卡接通槽， 32-卷芯，321-凸条，322-通槽，323-固定槽，41-半圆形轴承座，42-支撑柱， 5-清洁机构，51-上固定板，52-清洁电机，53-转动轴，54-下固定板，55-第一齿轮，56-第二齿轮，57-第一链条，58-上齿轮，59-上转轴，60-上转盘， 6-限位机构，61-支撑架，62-限位辊，7-底座，71-滑动块，72-滑动电机， 73-丝杆，74-固定块，75-滑杆，8-带材，91-清洁软刷，92-第二链条，93- 下转轴，94-下转盘。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例中的附图，对本实用新型实施例中的技术方案进行清楚、完整地描述，显然，所描述的实施例仅仅是本实用新型一部分实施例，而不是全部的实施例。基于本实用新型中的实施例，本领域普通技术人员在没有做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4所示为本实用新型提供一种非晶合金丝带生产用收卷装置实施例结构示意图：包括机架1，机架1上安装有收卷电机2，收卷电机2的输出轴上连接有收卷辊31，收卷辊31的一端通过轴承座11安装在机架1上，收卷辊31上拆卸式地套装有卷芯32，收卷辊31外壁开设有数个成圆周设置的卡接通槽311，卷芯32为中空圆柱体结构，卷芯32的内壁设置有与卡接通槽311相适配的凸条321，卷芯32通过卡接通槽311和凸条321套装在收卷辊31上，卷芯32外壁开设有槽口倾斜的通槽322，通槽322连通有固定槽 323，固定槽323的宽度与带材8的厚度相适配，收卷辊31的另一端通过半圆形轴承座41连接有支撑柱42，支撑柱42通过滑动块71连接有滑动机构，收卷辊31的一旁安装有清洁机构5，清洁机构5一旁安装有限位机构6，收卷时，将带材8的端部从通槽322卡进固定槽323内，由于固定槽323的宽度与带材8的厚度相适配，通过固定槽323可将带材8的端部卡紧在卷芯32 上，便于将带材8的端部固定在卷芯32上，便于卷芯32对带材8进行收卷，更换卷芯32时，通过滑动机构驱动滑动块71移动，通过滑动块71带动支撑柱42上的半圆形轴承座41从收卷辊31的端部移走，将卷芯32内壁的凸条 321与收卷辊31外壁的卡接通槽311相互对准，并将凸条321卡紧在卡接通槽311中，从而将卷芯32稳固地套装在收卷辊31上，便于更换卷芯32；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滑动机构包括底座7，底座7上安装有滑动电机72，滑动电机72的输出轴连接有丝杆73，丝杆73的两端分别通过固定块74安装在底座7上，丝杆 73的两侧分别安装有滑杆75，滑杆75的两端分别与固定块74连接，滑动块 71套装在丝杆73和滑杆75上，并沿丝杆73和滑杆75移动，工作时，开启滑动电机72，滑动电机72驱动丝杆73转动，丝杆73转动驱动滑动块71沿丝杆73和滑杆75移动，从而带动支撑柱42和支撑柱42上的半圆形轴承座 41移动，当进行收卷时，将支撑柱42和半圆形轴承座41往靠近收卷辊31的方向移动，并将收卷辊31一端的转轴安装在半圆形轴承座41上，通过支撑柱42，使收卷辊31和卷芯32运行时更加稳定，当安装或拆卸卷芯32时，将支撑柱42往远离收卷辊31的方向移动，便于安装或拆卸卷芯32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清洁机构5包括上固定板51，上固定板51上安装有清洁电机52，清洁电机52的输出轴贯穿上固定板51并连接有转动轴53，转动轴53的下端与下固定板54转动连接，转动轴53上固定套装有第一齿轮55和第二齿轮56，第一齿轮55通过第一链条57连接有上齿轮58，上齿轮58固定套装在上转轴 59上，上转轴59的上端与上固定板51转动连接，上转轴59的下端固定连接有上转盘60，上转盘60的下端面设置有清洁软刷91，第二齿轮56通过第二链条92连接有下齿轮，下齿轮固定套装在下转轴93上，下转轴93的上端固定连接有下转盘94，下转盘94的上端面设置有清洁软刷91，下转轴93的下端与下固定板54转动连接，清洁时，启动清洁电机52，清洁电机52驱动转动轴53转动，转动轴53带动第一齿轮55和第二齿轮56旋转，第一齿轮通过第一链条57带动上齿轮58转动，上齿轮58带动上转轴59转动，上转轴 59带动上转盘60转动，实现利用上转盘60的清洁软刷91对带材8的上端面的灰尘会细小颗粒进行清洁，第二齿轮56通过第二链条92带动下齿轮转动，下齿轮带动下转轴93转动，下转轴93带动下转盘94转动，实现利用下转盘 94上的清洁软刷91对带材8下端面的灰尘或细小颗粒进行清洁，从而实现对带材8的双面进行清洁，防止灰尘或细小颗粒附着在带材8上，避免在收卷时细小颗粒对带材8表面造成划伤或出现凹坑；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限位机构6设置有两个，两个限位机构6前后平行设置，两个限位机构包括支撑架61，支撑架61上安装有两个上下平行设置的限位辊62，两个限位辊62之间存在通道，收卷时，带材8经限位机构6进入清洁机构5后收卷辊31进行收卷，带材8进入限位机构6时，带材8进入两个限位辊62之间的通道，通过限位辊62之间相互限制带材在传输过程中不产生偏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工作原理：将卷芯32套装在收卷辊31上，带材8经限位机构6进入上转盘60和下转盘94之间，且通过上转盘60和下转盘94上的清洁软刷91对带材8的上端面和下端面进行清洁后由卷芯32进行收卷，通过清洁机构5的上转盘60和下转盘94上的清洁软刷91对带材8上灰尘或细小颗粒进行清洁，防止灰尘或细小颗粒附着在带材8表面，避免了收卷时细小颗粒对带材8表面造成划伤或出现凹坑，将卷芯32通过卡接通槽311和凸条321套装在收卷辊31上，便于安装和拆卸卷芯32，通过通槽322和固定槽323将带材8的端部固定在卷芯8上，便于对带材8进行收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内容是结合具体的优选实施方式对本实用新型所作的进一步详细说明，不能认定本实用新型的具体实施只局限于这些说明。对于本实用新型所属技术领域的普通技术人员来说，在不脱离本实用新型构思的前提下，还可以做出若干简单推演或替换，都应当视为属于本实用新型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72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8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38.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67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