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r>
        <w:rPr>
          <w:noProof/>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243840</wp:posOffset>
            </wp:positionV>
            <wp:extent cx="7559040" cy="1313815"/>
            <wp:effectExtent l="0" t="0" r="3810" b="635"/>
            <wp:wrapNone/>
            <wp:docPr id="1" name="图片 22" descr="C:\Users\Qimeng\Desktop\3333.png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C:\Users\Qimeng\Desktop\3333.png3333"/>
                    <pic:cNvPicPr>
                      <a:picLocks noChangeAspect="1"/>
                    </pic:cNvPicPr>
                  </pic:nvPicPr>
                  <pic:blipFill>
                    <a:blip xmlns:r="http://schemas.openxmlformats.org/officeDocument/2006/relationships" r:embed="rId6"/>
                    <a:stretch>
                      <a:fillRect/>
                    </a:stretch>
                  </pic:blipFill>
                  <pic:spPr>
                    <a:xfrm>
                      <a:off x="0" y="0"/>
                      <a:ext cx="7559040" cy="1313815"/>
                    </a:xfrm>
                    <a:prstGeom prst="rect">
                      <a:avLst/>
                    </a:prstGeom>
                    <a:noFill/>
                    <a:ln w="9525">
                      <a:noFill/>
                    </a:ln>
                  </pic:spPr>
                </pic:pic>
              </a:graphicData>
            </a:graphic>
          </wp:anchor>
        </w:drawing>
      </w: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rsidRPr="000F1B27" w:rsidP="000F1B27">
      <w:pPr>
        <w:tabs>
          <w:tab w:val="left" w:pos="2400"/>
        </w:tabs>
        <w:jc w:val="center"/>
        <w:rPr>
          <w:color w:val="000000"/>
          <w:sz w:val="48"/>
          <w:szCs w:val="48"/>
        </w:rPr>
      </w:pPr>
      <w:bookmarkStart w:id="0" w:name="_GoBack"/>
      <w:r w:rsidRPr="000F1B27">
        <w:rPr>
          <w:noProof/>
          <w:color w:val="000000"/>
          <w:sz w:val="48"/>
          <w:szCs w:val="48"/>
        </w:rPr>
        <w:t>一种电机转速测量仪</w:t>
      </w:r>
    </w:p>
    <w:p w:rsidR="000F1B27">
      <w:pPr>
        <w:tabs>
          <w:tab w:val="left" w:pos="2400"/>
        </w:tabs>
        <w:rPr>
          <w:rFonts w:ascii="宋体" w:hAnsi="宋体" w:cs="宋体" w:hint="eastAsia"/>
          <w:color w:val="000000"/>
          <w:sz w:val="22"/>
          <w:szCs w:val="22"/>
        </w:rPr>
      </w:pPr>
      <w:bookmarkEnd w:id="0"/>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2876FB">
      <w:pPr>
        <w:tabs>
          <w:tab w:val="left" w:pos="2400"/>
        </w:tabs>
        <w:rPr>
          <w:rFonts w:hint="eastAsia"/>
        </w:rPr>
      </w:pPr>
    </w:p>
    <w:tbl>
      <w:tblPr>
        <w:tblStyle w:val="TableGrid"/>
        <w:tblW w:w="9354" w:type="dxa"/>
        <w:tblLayout w:type="fixed"/>
        <w:tblLook w:val="04A0"/>
      </w:tblPr>
      <w:tblGrid>
        <w:gridCol w:w="2476"/>
        <w:gridCol w:w="6878"/>
      </w:tblGrid>
      <w:tr>
        <w:tblPrEx>
          <w:tblW w:w="9354" w:type="dxa"/>
          <w:tblLayout w:type="fixed"/>
          <w:tblLook w:val="04A0"/>
        </w:tblPrEx>
        <w:trPr>
          <w:trHeight w:val="534"/>
        </w:trPr>
        <w:tc>
          <w:tcPr>
            <w:tcW w:w="2476" w:type="dxa"/>
            <w:tcBorders>
              <w:top w:val="nil"/>
              <w:left w:val="nil"/>
              <w:bottom w:val="nil"/>
              <w:right w:val="nil"/>
            </w:tcBorders>
          </w:tcPr>
          <w:p w:rsidR="002876FB">
            <w:pPr>
              <w:tabs>
                <w:tab w:val="left" w:pos="2400"/>
              </w:tabs>
              <w:spacing w:line="480" w:lineRule="auto"/>
              <w:jc w:val="right"/>
            </w:pPr>
            <w:r>
              <w:rPr>
                <w:rFonts w:hint="eastAsia"/>
              </w:rPr>
              <w:t>申请号：</w:t>
            </w:r>
          </w:p>
        </w:tc>
        <w:tc>
          <w:tcPr>
            <w:tcW w:w="6878" w:type="dxa"/>
            <w:tcBorders>
              <w:top w:val="nil"/>
              <w:left w:val="nil"/>
              <w:bottom w:val="nil"/>
              <w:right w:val="nil"/>
            </w:tcBorders>
          </w:tcPr>
          <w:p w:rsidR="002876FB">
            <w:pPr>
              <w:tabs>
                <w:tab w:val="left" w:pos="2400"/>
              </w:tabs>
              <w:spacing w:line="480" w:lineRule="auto"/>
            </w:pPr>
            <w:r>
              <w:t>CN201922370027.0</w:t>
            </w:r>
            <w:r>
              <w:t xml:space="preserve"> </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申请日：</w:t>
            </w:r>
          </w:p>
        </w:tc>
        <w:tc>
          <w:tcPr>
            <w:tcW w:w="6878" w:type="dxa"/>
            <w:tcBorders>
              <w:top w:val="nil"/>
              <w:left w:val="nil"/>
              <w:bottom w:val="nil"/>
              <w:right w:val="nil"/>
            </w:tcBorders>
          </w:tcPr>
          <w:p w:rsidR="002876FB">
            <w:pPr>
              <w:tabs>
                <w:tab w:val="left" w:pos="2400"/>
              </w:tabs>
              <w:spacing w:line="480" w:lineRule="auto"/>
            </w:pPr>
            <w:r>
              <w:t>20191225</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申请（专利权）人：</w:t>
            </w:r>
          </w:p>
        </w:tc>
        <w:tc>
          <w:tcPr>
            <w:tcW w:w="6878" w:type="dxa"/>
            <w:tcBorders>
              <w:top w:val="nil"/>
              <w:left w:val="nil"/>
              <w:bottom w:val="nil"/>
              <w:right w:val="nil"/>
            </w:tcBorders>
          </w:tcPr>
          <w:p w:rsidR="002876FB">
            <w:pPr>
              <w:tabs>
                <w:tab w:val="left" w:pos="2400"/>
              </w:tabs>
              <w:spacing w:line="480" w:lineRule="auto"/>
            </w:pPr>
            <w:r>
              <w:t>[深圳大学]</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地址：</w:t>
            </w:r>
          </w:p>
        </w:tc>
        <w:tc>
          <w:tcPr>
            <w:tcW w:w="6878" w:type="dxa"/>
            <w:tcBorders>
              <w:top w:val="nil"/>
              <w:left w:val="nil"/>
              <w:bottom w:val="nil"/>
              <w:right w:val="nil"/>
            </w:tcBorders>
          </w:tcPr>
          <w:p w:rsidR="002876FB">
            <w:pPr>
              <w:tabs>
                <w:tab w:val="left" w:pos="2400"/>
              </w:tabs>
              <w:spacing w:line="480" w:lineRule="auto"/>
            </w:pPr>
            <w:r>
              <w:t>广东省深圳市南山区南海大道3688号</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发明人：</w:t>
            </w:r>
          </w:p>
        </w:tc>
        <w:tc>
          <w:tcPr>
            <w:tcW w:w="6878" w:type="dxa"/>
            <w:tcBorders>
              <w:top w:val="nil"/>
              <w:left w:val="nil"/>
              <w:bottom w:val="nil"/>
              <w:right w:val="nil"/>
            </w:tcBorders>
          </w:tcPr>
          <w:p w:rsidR="002876FB">
            <w:pPr>
              <w:spacing w:line="480" w:lineRule="auto"/>
            </w:pPr>
            <w:r>
              <w:t>[王超, 卓世锋, 张文贤, 朱文轩]</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主分类号：</w:t>
            </w:r>
          </w:p>
        </w:tc>
        <w:tc>
          <w:tcPr>
            <w:tcW w:w="6878" w:type="dxa"/>
            <w:tcBorders>
              <w:top w:val="nil"/>
              <w:left w:val="nil"/>
              <w:bottom w:val="nil"/>
              <w:right w:val="nil"/>
            </w:tcBorders>
          </w:tcPr>
          <w:p w:rsidR="002876FB">
            <w:pPr>
              <w:tabs>
                <w:tab w:val="left" w:pos="2400"/>
              </w:tabs>
              <w:spacing w:line="480" w:lineRule="auto"/>
            </w:pPr>
            <w:r>
              <w:t>G01P3/44</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公开（公告）号：</w:t>
            </w:r>
          </w:p>
        </w:tc>
        <w:tc>
          <w:tcPr>
            <w:tcW w:w="6878" w:type="dxa"/>
            <w:tcBorders>
              <w:top w:val="nil"/>
              <w:left w:val="nil"/>
              <w:bottom w:val="nil"/>
              <w:right w:val="nil"/>
            </w:tcBorders>
          </w:tcPr>
          <w:p w:rsidR="002876FB">
            <w:pPr>
              <w:tabs>
                <w:tab w:val="left" w:pos="2400"/>
              </w:tabs>
              <w:spacing w:line="480" w:lineRule="auto"/>
            </w:pPr>
            <w:r>
              <w:t>CN211955536U</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公开（公告）日：</w:t>
            </w:r>
          </w:p>
        </w:tc>
        <w:tc>
          <w:tcPr>
            <w:tcW w:w="6878" w:type="dxa"/>
            <w:tcBorders>
              <w:top w:val="nil"/>
              <w:left w:val="nil"/>
              <w:bottom w:val="nil"/>
              <w:right w:val="nil"/>
            </w:tcBorders>
          </w:tcPr>
          <w:p w:rsidR="002876FB">
            <w:pPr>
              <w:tabs>
                <w:tab w:val="left" w:pos="2400"/>
              </w:tabs>
              <w:spacing w:line="480" w:lineRule="auto"/>
            </w:pPr>
            <w:r>
              <w:t>20201117</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代理机构：</w:t>
            </w:r>
          </w:p>
        </w:tc>
        <w:tc>
          <w:tcPr>
            <w:tcW w:w="6878" w:type="dxa"/>
            <w:tcBorders>
              <w:top w:val="nil"/>
              <w:left w:val="nil"/>
              <w:bottom w:val="nil"/>
              <w:right w:val="nil"/>
            </w:tcBorders>
          </w:tcPr>
          <w:p w:rsidR="002876FB">
            <w:pPr>
              <w:tabs>
                <w:tab w:val="left" w:pos="2400"/>
              </w:tabs>
              <w:spacing w:line="480" w:lineRule="auto"/>
            </w:pPr>
            <w:r>
              <w:t>深圳市君胜知识产权代理事务所（普通合伙）</w:t>
            </w:r>
          </w:p>
        </w:tc>
      </w:tr>
      <w:tr>
        <w:tblPrEx>
          <w:tblW w:w="9354" w:type="dxa"/>
          <w:tblLayout w:type="fixed"/>
          <w:tblLook w:val="04A0"/>
        </w:tblPrEx>
        <w:trPr>
          <w:trHeight w:val="491"/>
        </w:trPr>
        <w:tc>
          <w:tcPr>
            <w:tcW w:w="2476" w:type="dxa"/>
            <w:tcBorders>
              <w:top w:val="nil"/>
              <w:left w:val="nil"/>
              <w:bottom w:val="nil"/>
              <w:right w:val="nil"/>
            </w:tcBorders>
          </w:tcPr>
          <w:p w:rsidR="002876FB">
            <w:pPr>
              <w:spacing w:line="480" w:lineRule="auto"/>
              <w:jc w:val="right"/>
            </w:pPr>
            <w:r>
              <w:rPr>
                <w:rFonts w:hint="eastAsia"/>
              </w:rPr>
              <w:t>代理人：</w:t>
            </w:r>
          </w:p>
        </w:tc>
        <w:tc>
          <w:tcPr>
            <w:tcW w:w="6878" w:type="dxa"/>
            <w:tcBorders>
              <w:top w:val="nil"/>
              <w:left w:val="nil"/>
              <w:bottom w:val="nil"/>
              <w:right w:val="nil"/>
            </w:tcBorders>
          </w:tcPr>
          <w:p w:rsidR="002876FB">
            <w:pPr>
              <w:tabs>
                <w:tab w:val="left" w:pos="2400"/>
              </w:tabs>
              <w:spacing w:line="480" w:lineRule="auto"/>
            </w:pPr>
            <w:r>
              <w:t>[王永文]</w:t>
            </w:r>
          </w:p>
        </w:tc>
      </w:tr>
    </w:tbl>
    <w:p w:rsidR="002876FB">
      <w:pPr>
        <w:tabs>
          <w:tab w:val="left" w:pos="2400"/>
        </w:tabs>
      </w:pPr>
      <w:r>
        <w:rPr>
          <w:noProof/>
        </w:rPr>
        <mc:AlternateContent>
          <mc:Choice Requires="wps">
            <w:drawing>
              <wp:anchor distT="0" distB="0" distL="114300" distR="114300" simplePos="0" relativeHeight="251658240" behindDoc="0" locked="0" layoutInCell="1" allowOverlap="1">
                <wp:simplePos x="0" y="0"/>
                <wp:positionH relativeFrom="column">
                  <wp:posOffset>4638675</wp:posOffset>
                </wp:positionH>
                <wp:positionV relativeFrom="paragraph">
                  <wp:posOffset>1431290</wp:posOffset>
                </wp:positionV>
                <wp:extent cx="1914525" cy="342900"/>
                <wp:effectExtent l="0" t="0" r="0" b="0"/>
                <wp:wrapNone/>
                <wp:docPr id="1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4525" cy="342900"/>
                        </a:xfrm>
                        <a:prstGeom prst="rect">
                          <a:avLst/>
                        </a:prstGeom>
                        <a:noFill/>
                        <a:ln w="15875">
                          <a:noFill/>
                        </a:ln>
                      </wps:spPr>
                      <wps:txb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wps:txbx>
                      <wps:bodyPr wrap="square" anchor="t" upright="1"/>
                    </wps:wsp>
                  </a:graphicData>
                </a:graphic>
              </wp:anchor>
            </w:drawing>
          </mc:Choice>
          <mc:Fallback>
            <w:pict>
              <v:shapetype id="_x0000_t202" coordsize="21600,21600" o:spt="202" path="m,l,21600r21600,l21600,xe">
                <v:stroke joinstyle="miter"/>
                <v:path gradientshapeok="t" o:connecttype="rect"/>
              </v:shapetype>
              <v:shape id="文本框 18" o:spid="_x0000_s1025" type="#_x0000_t202" style="height:27pt;margin-left:365.25pt;margin-top:112.7pt;mso-wrap-distance-bottom:0;mso-wrap-distance-left:9pt;mso-wrap-distance-right:9pt;mso-wrap-distance-top:0;mso-wrap-style:square;position:absolute;v-text-anchor:top;visibility:visible;width:150.75pt;z-index:251659264" filled="f" stroked="f" strokeweight="1.25pt">
                <v:textbo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v:textbox>
              </v:shape>
            </w:pict>
          </mc:Fallback>
        </mc:AlternateContent>
      </w:r>
      <w:r>
        <w:br w:type="page"/>
      </w:r>
    </w:p>
    <w:tbl>
      <w:tblPr>
        <w:tblW w:w="8522" w:type="dxa"/>
        <w:tblBorders>
          <w:top w:val="single" w:sz="12" w:space="0" w:color="000000"/>
          <w:bottom w:val="single" w:sz="12" w:space="0" w:color="000000"/>
        </w:tblBorders>
        <w:tblLayout w:type="fixed"/>
        <w:tblLook w:val="04A0"/>
      </w:tblPr>
      <w:tblGrid>
        <w:gridCol w:w="2376"/>
        <w:gridCol w:w="3305"/>
        <w:gridCol w:w="2841"/>
      </w:tblGrid>
      <w:tr>
        <w:tblPrEx>
          <w:tblW w:w="8522" w:type="dxa"/>
          <w:tblBorders>
            <w:top w:val="single" w:sz="12" w:space="0" w:color="000000"/>
            <w:bottom w:val="single" w:sz="12" w:space="0" w:color="000000"/>
          </w:tblBorders>
          <w:tblLayout w:type="fixed"/>
          <w:tblLook w:val="04A0"/>
        </w:tblPrEx>
        <w:tc>
          <w:tcPr>
            <w:tcW w:w="8522" w:type="dxa"/>
            <w:gridSpan w:val="3"/>
            <w:tcBorders>
              <w:top w:val="nil"/>
              <w:bottom w:val="nil"/>
              <w:right w:val="nil"/>
            </w:tcBorders>
            <w:shd w:val="clear" w:color="auto" w:fill="auto"/>
          </w:tcPr>
          <w:p w:rsidR="002876FB">
            <w:pPr>
              <w:rPr>
                <w:rFonts w:ascii="宋体" w:hAnsi="宋体" w:cs="宋体"/>
                <w:b/>
                <w:i/>
                <w:iCs/>
                <w:color w:val="000000"/>
                <w:sz w:val="30"/>
              </w:rPr>
            </w:pPr>
            <w:r>
              <w:rPr>
                <w:rFonts w:ascii="宋体" w:hAnsi="宋体" w:cs="宋体"/>
                <w:b/>
                <w:iCs/>
                <w:color w:val="000000"/>
                <w:sz w:val="30"/>
              </w:rPr>
              <w:t>（19）中</w:t>
            </w:r>
            <w:r>
              <w:rPr>
                <w:rFonts w:ascii="宋体" w:hAnsi="宋体" w:cs="宋体" w:hint="eastAsia"/>
                <w:b/>
                <w:iCs/>
                <w:color w:val="000000"/>
                <w:sz w:val="30"/>
              </w:rPr>
              <w:t>华</w:t>
            </w:r>
            <w:r>
              <w:rPr>
                <w:rFonts w:ascii="宋体" w:hAnsi="宋体" w:cs="宋体"/>
                <w:b/>
                <w:iCs/>
                <w:color w:val="000000"/>
                <w:sz w:val="30"/>
              </w:rPr>
              <w:t>人民共和国国家知识产权局</w:t>
            </w:r>
          </w:p>
        </w:tc>
      </w:tr>
      <w:tr>
        <w:tblPrEx>
          <w:tblW w:w="8522" w:type="dxa"/>
          <w:tblLayout w:type="fixed"/>
          <w:tblLook w:val="04A0"/>
        </w:tblPrEx>
        <w:tc>
          <w:tcPr>
            <w:tcW w:w="2376" w:type="dxa"/>
            <w:vMerge w:val="restart"/>
            <w:tcBorders>
              <w:top w:val="nil"/>
              <w:right w:val="nil"/>
            </w:tcBorders>
            <w:shd w:val="clear" w:color="auto" w:fill="auto"/>
          </w:tcPr>
          <w:p w:rsidR="002876FB">
            <w:pPr>
              <w:rPr>
                <w:rFonts w:ascii="宋体" w:hAnsi="宋体" w:cs="宋体"/>
                <w:color w:val="000000"/>
                <w:sz w:val="30"/>
              </w:rPr>
            </w:pPr>
            <w:r>
              <w:rPr>
                <w:rFonts w:ascii="宋体" w:hAnsi="宋体" w:cs="宋体"/>
                <w:noProof/>
                <w:color w:val="000000"/>
                <w:sz w:val="30"/>
              </w:rPr>
              <w:drawing>
                <wp:inline distT="0" distB="0" distL="114300" distR="114300">
                  <wp:extent cx="914400" cy="76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914400" cy="762000"/>
                          </a:xfrm>
                          <a:prstGeom prst="rect">
                            <a:avLst/>
                          </a:prstGeom>
                          <a:noFill/>
                          <a:ln w="9525">
                            <a:noFill/>
                          </a:ln>
                        </pic:spPr>
                      </pic:pic>
                    </a:graphicData>
                  </a:graphic>
                </wp:inline>
              </w:drawing>
            </w:r>
          </w:p>
        </w:tc>
        <w:tc>
          <w:tcPr>
            <w:tcW w:w="3305" w:type="dxa"/>
            <w:tcBorders>
              <w:top w:val="nil"/>
              <w:left w:val="nil"/>
            </w:tcBorders>
            <w:shd w:val="clear" w:color="auto" w:fill="auto"/>
          </w:tcPr>
          <w:p w:rsidR="002876FB">
            <w:pPr>
              <w:rPr>
                <w:rFonts w:ascii="宋体" w:hAnsi="宋体" w:cs="宋体"/>
                <w:color w:val="000000"/>
                <w:sz w:val="30"/>
              </w:rPr>
            </w:pPr>
          </w:p>
        </w:tc>
        <w:tc>
          <w:tcPr>
            <w:tcW w:w="2841" w:type="dxa"/>
            <w:tcBorders>
              <w:top w:val="nil"/>
            </w:tcBorders>
            <w:shd w:val="clear" w:color="auto" w:fill="auto"/>
          </w:tcPr>
          <w:p w:rsidR="002876FB">
            <w:pPr>
              <w:jc w:val="center"/>
              <w:rPr>
                <w:rFonts w:ascii="宋体" w:hAnsi="宋体" w:cs="宋体"/>
                <w:color w:val="000000"/>
                <w:sz w:val="30"/>
              </w:rPr>
            </w:pPr>
          </w:p>
        </w:tc>
      </w:tr>
      <w:tr>
        <w:tblPrEx>
          <w:tblW w:w="8522" w:type="dxa"/>
          <w:tblLayout w:type="fixed"/>
          <w:tblLook w:val="04A0"/>
        </w:tblPrEx>
        <w:tc>
          <w:tcPr>
            <w:tcW w:w="2376" w:type="dxa"/>
            <w:vMerge/>
            <w:tcBorders>
              <w:right w:val="nil"/>
            </w:tcBorders>
            <w:shd w:val="clear" w:color="auto" w:fill="auto"/>
          </w:tcPr>
          <w:p w:rsidR="002876FB">
            <w:pPr>
              <w:rPr>
                <w:rFonts w:ascii="宋体" w:hAnsi="宋体" w:cs="宋体"/>
                <w:color w:val="000000"/>
                <w:sz w:val="30"/>
              </w:rPr>
            </w:pPr>
          </w:p>
        </w:tc>
        <w:tc>
          <w:tcPr>
            <w:tcW w:w="6146" w:type="dxa"/>
            <w:gridSpan w:val="2"/>
            <w:tcBorders>
              <w:left w:val="nil"/>
            </w:tcBorders>
            <w:shd w:val="clear" w:color="auto" w:fill="auto"/>
          </w:tcPr>
          <w:p w:rsidR="002876FB">
            <w:pPr>
              <w:rPr>
                <w:rFonts w:ascii="宋体" w:hAnsi="宋体" w:cs="宋体"/>
                <w:b/>
                <w:color w:val="000000"/>
                <w:sz w:val="30"/>
              </w:rPr>
            </w:pPr>
            <w:r>
              <w:rPr>
                <w:rFonts w:ascii="宋体" w:hAnsi="宋体" w:cs="宋体"/>
                <w:b/>
                <w:color w:val="000000"/>
                <w:sz w:val="30"/>
              </w:rPr>
              <w:t>（12）实用新型专利</w:t>
            </w:r>
          </w:p>
        </w:tc>
      </w:tr>
      <w:tr>
        <w:tblPrEx>
          <w:tblW w:w="8522" w:type="dxa"/>
          <w:tblLayout w:type="fixed"/>
          <w:tblLook w:val="04A0"/>
        </w:tblPrEx>
        <w:tc>
          <w:tcPr>
            <w:tcW w:w="8522" w:type="dxa"/>
            <w:gridSpan w:val="3"/>
            <w:tcBorders>
              <w:right w:val="nil"/>
            </w:tcBorders>
            <w:shd w:val="clear" w:color="auto" w:fill="auto"/>
          </w:tcPr>
          <w:p w:rsidR="002876FB">
            <w:pPr>
              <w:jc w:val="right"/>
              <w:rPr>
                <w:rFonts w:ascii="宋体" w:hAnsi="宋体" w:cs="宋体"/>
                <w:color w:val="000000"/>
                <w:sz w:val="30"/>
              </w:rPr>
            </w:pPr>
            <w:r>
              <w:rPr>
                <w:rFonts w:ascii="宋体" w:hAnsi="宋体" w:cs="宋体"/>
                <w:b/>
                <w:color w:val="000000"/>
                <w:sz w:val="22"/>
              </w:rPr>
              <w:t>（10）授权公告号</w:t>
            </w:r>
            <w:r>
              <w:rPr>
                <w:rFonts w:ascii="宋体" w:hAnsi="宋体" w:cs="宋体"/>
                <w:color w:val="000000"/>
                <w:sz w:val="22"/>
              </w:rPr>
              <w:t xml:space="preserve"> </w:t>
            </w:r>
            <w:r>
              <w:rPr>
                <w:rFonts w:ascii="宋体" w:hAnsi="宋体" w:cs="宋体"/>
                <w:color w:val="000000"/>
                <w:sz w:val="22"/>
              </w:rPr>
              <w:t>CN211955536U</w:t>
            </w:r>
          </w:p>
          <w:p w:rsidR="002876FB">
            <w:pPr>
              <w:jc w:val="right"/>
              <w:rPr>
                <w:rFonts w:ascii="宋体" w:hAnsi="宋体" w:cs="宋体"/>
                <w:color w:val="000000"/>
                <w:sz w:val="30"/>
              </w:rPr>
            </w:pPr>
            <w:r>
              <w:rPr>
                <w:rFonts w:ascii="宋体" w:hAnsi="宋体" w:cs="宋体"/>
                <w:b/>
                <w:color w:val="000000"/>
                <w:sz w:val="22"/>
              </w:rPr>
              <w:t>（45）授权公告日</w:t>
            </w:r>
            <w:r>
              <w:rPr>
                <w:rFonts w:ascii="宋体" w:hAnsi="宋体" w:cs="宋体"/>
                <w:color w:val="000000"/>
                <w:sz w:val="22"/>
              </w:rPr>
              <w:t xml:space="preserve"> </w:t>
            </w:r>
            <w:r>
              <w:rPr>
                <w:rFonts w:ascii="宋体" w:hAnsi="宋体" w:cs="宋体"/>
                <w:color w:val="000000"/>
                <w:sz w:val="22"/>
              </w:rPr>
              <w:t>20201117</w:t>
            </w:r>
          </w:p>
        </w:tc>
      </w:tr>
    </w:tbl>
    <w:p w:rsidR="002876FB">
      <w:pPr>
        <w:rPr>
          <w:rFonts w:ascii="宋体" w:hAnsi="宋体" w:cs="宋体"/>
          <w:color w:val="000000"/>
          <w:sz w:val="10"/>
          <w:szCs w:val="10"/>
        </w:rPr>
      </w:pPr>
    </w:p>
    <w:tbl>
      <w:tblPr>
        <w:tblW w:w="8522" w:type="dxa"/>
        <w:tblLayout w:type="fixed"/>
        <w:tblLook w:val="04A0"/>
      </w:tblPr>
      <w:tblGrid>
        <w:gridCol w:w="4261"/>
        <w:gridCol w:w="4261"/>
      </w:tblGrid>
      <w:tr>
        <w:tblPrEx>
          <w:tblW w:w="8522" w:type="dxa"/>
          <w:tblLayout w:type="fixed"/>
          <w:tblLook w:val="04A0"/>
        </w:tblPrEx>
        <w:trPr>
          <w:trHeight w:val="4540"/>
        </w:trPr>
        <w:tc>
          <w:tcPr>
            <w:tcW w:w="4261" w:type="dxa"/>
            <w:shd w:val="clear" w:color="auto" w:fill="auto"/>
          </w:tcPr>
          <w:p w:rsidR="002876FB">
            <w:pPr>
              <w:rPr>
                <w:rFonts w:ascii="宋体" w:hAnsi="宋体" w:cs="宋体"/>
                <w:color w:val="000000"/>
                <w:sz w:val="22"/>
              </w:rPr>
            </w:pPr>
            <w:r>
              <w:rPr>
                <w:rFonts w:ascii="宋体" w:hAnsi="宋体" w:cs="宋体"/>
                <w:b/>
                <w:color w:val="000000"/>
                <w:sz w:val="22"/>
              </w:rPr>
              <w:t>（21）申请号</w:t>
            </w:r>
            <w:r>
              <w:rPr>
                <w:rFonts w:ascii="宋体" w:hAnsi="宋体" w:cs="宋体"/>
                <w:color w:val="000000"/>
                <w:sz w:val="22"/>
              </w:rPr>
              <w:t xml:space="preserve"> </w:t>
            </w:r>
            <w:r>
              <w:rPr>
                <w:rFonts w:ascii="宋体" w:hAnsi="宋体" w:cs="宋体"/>
                <w:color w:val="000000"/>
                <w:sz w:val="22"/>
              </w:rPr>
              <w:t>CN201922370027.0</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（22）申请日</w:t>
            </w:r>
            <w:r>
              <w:rPr>
                <w:rFonts w:ascii="宋体" w:hAnsi="宋体" w:cs="宋体"/>
                <w:color w:val="000000"/>
                <w:sz w:val="22"/>
              </w:rPr>
              <w:t xml:space="preserve"> </w:t>
            </w:r>
            <w:r>
              <w:rPr>
                <w:rFonts w:ascii="宋体" w:hAnsi="宋体" w:cs="宋体"/>
                <w:color w:val="000000"/>
                <w:sz w:val="22"/>
              </w:rPr>
              <w:t>20191225</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（73）专利权人</w:t>
            </w:r>
            <w:r>
              <w:rPr>
                <w:rFonts w:ascii="宋体" w:hAnsi="宋体" w:cs="宋体"/>
                <w:color w:val="000000"/>
                <w:sz w:val="22"/>
              </w:rPr>
              <w:t xml:space="preserve"> </w:t>
            </w:r>
            <w:r>
              <w:rPr>
                <w:rFonts w:ascii="宋体" w:hAnsi="宋体" w:cs="宋体"/>
                <w:color w:val="000000"/>
                <w:sz w:val="22"/>
              </w:rPr>
              <w:t>[深圳大学]</w:t>
            </w:r>
          </w:p>
          <w:p w:rsidR="002876FB">
            <w:pPr>
              <w:rPr>
                <w:rFonts w:ascii="宋体" w:hAnsi="宋体" w:cs="宋体"/>
                <w:color w:val="000000"/>
                <w:sz w:val="22"/>
              </w:rPr>
            </w:pPr>
          </w:p>
          <w:p w:rsidR="002876FB">
            <w:pPr>
              <w:ind w:firstLine="480" w:firstLineChars="200"/>
              <w:rPr>
                <w:rFonts w:ascii="宋体" w:hAnsi="宋体" w:cs="宋体"/>
                <w:color w:val="000000"/>
                <w:sz w:val="22"/>
              </w:rPr>
            </w:pPr>
            <w:r>
              <w:rPr>
                <w:rFonts w:ascii="宋体" w:hAnsi="宋体" w:cs="宋体"/>
                <w:b/>
                <w:color w:val="000000"/>
                <w:sz w:val="22"/>
              </w:rPr>
              <w:t>地址</w:t>
            </w:r>
            <w:r>
              <w:rPr>
                <w:rFonts w:ascii="宋体" w:hAnsi="宋体" w:cs="宋体"/>
                <w:color w:val="000000"/>
                <w:sz w:val="22"/>
              </w:rPr>
              <w:t xml:space="preserve"> </w:t>
            </w:r>
            <w:r>
              <w:rPr>
                <w:rFonts w:ascii="宋体" w:hAnsi="宋体" w:cs="宋体"/>
                <w:color w:val="000000"/>
                <w:sz w:val="22"/>
              </w:rPr>
              <w:t>广东省深圳市南山区南海大道3688号</w:t>
            </w:r>
          </w:p>
          <w:p w:rsidR="002876FB">
            <w:pPr>
              <w:ind w:firstLine="480" w:firstLineChars="200"/>
              <w:rPr>
                <w:rFonts w:ascii="宋体" w:hAnsi="宋体" w:cs="宋体"/>
                <w:color w:val="000000"/>
                <w:sz w:val="22"/>
              </w:rPr>
            </w:pPr>
          </w:p>
          <w:p w:rsidR="002876FB">
            <w:pPr>
              <w:rPr>
                <w:rFonts w:ascii="宋体" w:hAnsi="宋体" w:cs="宋体"/>
                <w:color w:val="000000"/>
                <w:sz w:val="22"/>
              </w:rPr>
            </w:pPr>
            <w:r>
              <w:rPr>
                <w:rFonts w:ascii="宋体" w:hAnsi="宋体" w:cs="宋体" w:hint="eastAsia"/>
                <w:b/>
                <w:color w:val="000000"/>
                <w:sz w:val="22"/>
              </w:rPr>
              <w:t xml:space="preserve">（72）发明人 </w:t>
            </w:r>
            <w:r>
              <w:rPr>
                <w:rFonts w:ascii="宋体" w:hAnsi="宋体" w:cs="宋体"/>
                <w:color w:val="000000"/>
                <w:sz w:val="22"/>
              </w:rPr>
              <w:t>[王超, 卓世锋, 张文贤, 朱文轩]</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（74）专利代理机构 </w:t>
            </w:r>
            <w:r>
              <w:rPr>
                <w:rFonts w:ascii="宋体" w:hAnsi="宋体" w:cs="宋体"/>
                <w:color w:val="000000"/>
                <w:sz w:val="22"/>
              </w:rPr>
              <w:t>深圳市君胜知识产权代理事务所（普通合伙）</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      代理人 </w:t>
            </w:r>
            <w:r>
              <w:rPr>
                <w:rFonts w:ascii="宋体" w:hAnsi="宋体" w:cs="宋体"/>
                <w:color w:val="000000"/>
                <w:sz w:val="22"/>
              </w:rPr>
              <w:t>[王永文]</w:t>
            </w:r>
          </w:p>
        </w:tc>
        <w:tc>
          <w:tcPr>
            <w:tcW w:w="4261" w:type="dxa"/>
            <w:shd w:val="clear" w:color="auto" w:fill="auto"/>
          </w:tcPr>
          <w:p w:rsidR="002876FB">
            <w:pPr>
              <w:rPr>
                <w:rFonts w:ascii="宋体" w:hAnsi="宋体" w:cs="宋体"/>
                <w:color w:val="000000"/>
                <w:sz w:val="22"/>
              </w:rPr>
            </w:pPr>
          </w:p>
        </w:tc>
      </w:tr>
      <w:tr>
        <w:tblPrEx>
          <w:tblW w:w="8522" w:type="dxa"/>
          <w:tblLayout w:type="fixed"/>
          <w:tblLook w:val="04A0"/>
        </w:tblPrEx>
        <w:trPr>
          <w:trHeight w:val="938"/>
        </w:trPr>
        <w:tc>
          <w:tcPr>
            <w:tcW w:w="4261" w:type="dxa"/>
            <w:tcBorders>
              <w:top w:val="single" w:sz="12" w:space="0" w:color="auto"/>
            </w:tcBorders>
            <w:shd w:val="clear" w:color="auto" w:fill="auto"/>
          </w:tcPr>
          <w:p w:rsidR="002876FB">
            <w:pPr>
              <w:rPr>
                <w:rFonts w:ascii="宋体" w:hAnsi="宋体" w:cs="宋体"/>
                <w:color w:val="000000"/>
                <w:sz w:val="22"/>
              </w:rPr>
            </w:pPr>
            <w:r>
              <w:rPr>
                <w:rFonts w:ascii="宋体" w:hAnsi="宋体" w:cs="宋体"/>
                <w:b/>
                <w:color w:val="000000"/>
                <w:sz w:val="22"/>
              </w:rPr>
              <w:t>（54）实用新型名称</w:t>
            </w:r>
          </w:p>
          <w:p w:rsidR="002876FB">
            <w:pPr>
              <w:rPr>
                <w:rFonts w:ascii="宋体" w:hAnsi="宋体" w:cs="宋体"/>
                <w:color w:val="000000"/>
                <w:sz w:val="22"/>
              </w:rPr>
            </w:pPr>
            <w:r>
              <w:rPr>
                <w:rFonts w:ascii="宋体" w:hAnsi="宋体" w:cs="宋体" w:hint="eastAsia"/>
                <w:b/>
                <w:color w:val="000000"/>
                <w:sz w:val="22"/>
              </w:rPr>
              <w:t xml:space="preserve">     </w:t>
            </w:r>
            <w:r>
              <w:rPr>
                <w:rFonts w:ascii="宋体" w:hAnsi="宋体" w:cs="宋体"/>
                <w:color w:val="000000"/>
                <w:sz w:val="22"/>
              </w:rPr>
              <w:t>一种电机转速测量仪</w:t>
            </w:r>
          </w:p>
        </w:tc>
        <w:tc>
          <w:tcPr>
            <w:tcW w:w="4261" w:type="dxa"/>
            <w:vMerge w:val="restart"/>
            <w:tcBorders>
              <w:top w:val="single" w:sz="12" w:space="0" w:color="auto"/>
            </w:tcBorders>
            <w:shd w:val="clear" w:color="auto" w:fill="auto"/>
          </w:tcPr>
          <w:p w:rsidR="002876FB">
            <w:pPr>
              <w:rPr>
                <w:rFonts w:ascii="宋体" w:hAnsi="宋体" w:cs="宋体"/>
                <w:color w:val="000000"/>
                <w:sz w:val="22"/>
              </w:rPr>
            </w:pPr>
          </w:p>
          <w:p w:rsidR="002876FB">
            <w:pPr>
              <w:rPr>
                <w:rFonts w:ascii="宋体" w:hAnsi="宋体" w:cs="宋体"/>
                <w:color w:val="000000"/>
                <w:sz w:val="22"/>
              </w:rPr>
            </w:pPr>
            <w:r>
              <w:rPr>
                <w:rFonts w:ascii="宋体" w:hAnsi="宋体" w:cs="宋体"/>
                <w:color w:val="00000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204pt;width:187.5pt">
                  <v:imagedata r:id="rId8" o:title=""/>
                </v:shape>
              </w:pict>
            </w:r>
          </w:p>
        </w:tc>
      </w:tr>
      <w:tr>
        <w:tblPrEx>
          <w:tblW w:w="8522" w:type="dxa"/>
          <w:tblLayout w:type="fixed"/>
          <w:tblLook w:val="04A0"/>
        </w:tblPrEx>
        <w:trPr>
          <w:trHeight w:val="5384"/>
        </w:trPr>
        <w:tc>
          <w:tcPr>
            <w:tcW w:w="4261" w:type="dxa"/>
            <w:shd w:val="clear" w:color="auto" w:fill="auto"/>
          </w:tcPr>
          <w:p w:rsidR="002876FB">
            <w:pPr>
              <w:rPr>
                <w:rFonts w:ascii="宋体" w:hAnsi="宋体" w:cs="宋体"/>
                <w:color w:val="000000"/>
                <w:sz w:val="22"/>
              </w:rPr>
            </w:pPr>
            <w:r>
              <w:rPr>
                <w:rFonts w:ascii="宋体" w:hAnsi="宋体" w:cs="宋体" w:hint="eastAsia"/>
                <w:b/>
                <w:color w:val="000000"/>
                <w:sz w:val="22"/>
              </w:rPr>
              <w:t>（57）摘要</w:t>
            </w:r>
          </w:p>
          <w:p w:rsidR="002876FB">
            <w:pPr>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本实用新型公开了一种电机转速测量仪，包括用于固定连接在电机的转动轴上的磁铁载具，固定设置在所述磁铁载具内并沿所述电机的转动轴线对称排布的磁铁，贯穿所述磁铁载具且位于所述磁铁的对称轴线上的感应器固定台，所述感应器固定台用于可拆卸连接感应器并使感应器位于所述磁铁形成的磁场内。通过带动石墨烯传感器周边的磁场进行转动，旋转变化的磁场中的石墨烯传感器感应磁性变化进行测量电机转速，精准地测量和监控电机的实时转速。</w:t>
            </w:r>
          </w:p>
        </w:tc>
        <w:tc>
          <w:tcPr>
            <w:tcW w:w="4261" w:type="dxa"/>
            <w:vMerge/>
            <w:shd w:val="clear" w:color="auto" w:fill="auto"/>
          </w:tcPr>
          <w:p w:rsidR="002876FB">
            <w:pPr>
              <w:rPr>
                <w:rFonts w:ascii="宋体" w:hAnsi="宋体" w:cs="宋体"/>
                <w:color w:val="000000"/>
                <w:sz w:val="22"/>
              </w:rPr>
            </w:pPr>
          </w:p>
        </w:tc>
      </w:tr>
    </w:tbl>
    <w:p w:rsidR="002876FB">
      <w:pPr>
        <w:rPr>
          <w:rFonts w:ascii="宋体" w:hAnsi="宋体" w:cs="宋体"/>
          <w:b/>
          <w:color w:val="000000"/>
          <w:sz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权 利 要 求 书</w:t>
            </w:r>
          </w:p>
        </w:tc>
      </w:tr>
    </w:tbl>
    <w:p w:rsidR="002876FB">
      <w:pPr>
        <w:ind w:firstLine="480" w:firstLineChars="200"/>
        <w:rPr>
          <w:rFonts w:ascii="宋体" w:hAnsi="宋体" w:cs="宋体"/>
          <w:b/>
          <w:color w:val="000000"/>
          <w:sz w:val="32"/>
        </w:rPr>
      </w:pPr>
      <w:r>
        <w:rPr>
          <w:rFonts w:ascii="宋体" w:hAnsi="宋体" w:cs="宋体"/>
          <w:color w:val="000000"/>
          <w:sz w:val="22"/>
          <w:szCs w:val="22"/>
        </w:rPr>
        <w:t>1.一种电机转速测量仪，其特征在于，包括用于固定连接在电机的转动轴上的磁铁载具，固定设置在所述磁铁载具内并沿所述电机的转动轴线对称排布的磁铁，贯穿所述磁铁载具且位于所述磁铁的对称轴线上的感应器固定台，所述感应器固定台用于可拆卸连接感应器并使感应器位于所述磁铁形成的磁场内；所述感应器为石墨烯感应器。</w:t>
      </w:r>
    </w:p>
    <w:p>
      <w:pPr>
        <w:ind w:firstLine="480" w:firstLineChars="200"/>
        <w:rPr>
          <w:rFonts w:ascii="宋体" w:hAnsi="宋体" w:cs="宋体"/>
          <w:color w:val="000000"/>
          <w:sz w:val="22"/>
          <w:szCs w:val="22"/>
        </w:rPr>
      </w:pPr>
      <w:r>
        <w:rPr>
          <w:rFonts w:ascii="宋体" w:hAnsi="宋体" w:cs="宋体"/>
          <w:color w:val="000000"/>
          <w:sz w:val="22"/>
          <w:szCs w:val="22"/>
        </w:rPr>
        <w:t>2.根据权利要求1所述的电机转速测量仪，其特征在于，所述磁铁载具包括磁铁安装板，在所述磁铁安装板朝向电机的表面上开设有感应定位孔，在所述感应定位孔中轴对称的两侧分别开设有磁铁安装槽；</w:t>
      </w:r>
    </w:p>
    <w:p>
      <w:pPr>
        <w:ind w:firstLine="480" w:firstLineChars="200"/>
        <w:rPr>
          <w:rFonts w:ascii="宋体" w:hAnsi="宋体" w:cs="宋体"/>
          <w:color w:val="000000"/>
          <w:sz w:val="22"/>
          <w:szCs w:val="22"/>
        </w:rPr>
      </w:pPr>
      <w:r>
        <w:rPr>
          <w:rFonts w:ascii="宋体" w:hAnsi="宋体" w:cs="宋体"/>
          <w:color w:val="000000"/>
          <w:sz w:val="22"/>
          <w:szCs w:val="22"/>
        </w:rPr>
        <w:t>所述感应器固定台位于所述感应定位孔中，所述磁铁位于所述磁铁安装槽中。</w:t>
      </w:r>
    </w:p>
    <w:p>
      <w:pPr>
        <w:ind w:firstLine="480" w:firstLineChars="200"/>
        <w:rPr>
          <w:rFonts w:ascii="宋体" w:hAnsi="宋体" w:cs="宋体"/>
          <w:color w:val="000000"/>
          <w:sz w:val="22"/>
          <w:szCs w:val="22"/>
        </w:rPr>
      </w:pPr>
      <w:r>
        <w:rPr>
          <w:rFonts w:ascii="宋体" w:hAnsi="宋体" w:cs="宋体"/>
          <w:color w:val="000000"/>
          <w:sz w:val="22"/>
          <w:szCs w:val="22"/>
        </w:rPr>
        <w:t>3.根据权利要求2所述的电机转速测量仪，其特征在于，所述磁铁安装板的两端分别开设有侧面螺纹孔，所述侧面螺纹孔贯通所述磁铁安装槽，所述侧面螺纹孔内连接有固定螺钉，所述固定螺钉的末端抵靠固定所述磁铁。</w:t>
      </w:r>
    </w:p>
    <w:p>
      <w:pPr>
        <w:ind w:firstLine="480" w:firstLineChars="200"/>
        <w:rPr>
          <w:rFonts w:ascii="宋体" w:hAnsi="宋体" w:cs="宋体"/>
          <w:color w:val="000000"/>
          <w:sz w:val="22"/>
          <w:szCs w:val="22"/>
        </w:rPr>
      </w:pPr>
      <w:r>
        <w:rPr>
          <w:rFonts w:ascii="宋体" w:hAnsi="宋体" w:cs="宋体"/>
          <w:color w:val="000000"/>
          <w:sz w:val="22"/>
          <w:szCs w:val="22"/>
        </w:rPr>
        <w:t>4.根据权利要求2所述的电机转速测量仪，其特征在于，所述磁铁载具还包括有位于磁铁安装板的两端分别固定设置的连接板，在两端的连接板之间固定连接有载具上架，所述载具上架固定连接所述电机的转动轴。</w:t>
      </w:r>
    </w:p>
    <w:p>
      <w:pPr>
        <w:ind w:firstLine="480" w:firstLineChars="200"/>
        <w:rPr>
          <w:rFonts w:ascii="宋体" w:hAnsi="宋体" w:cs="宋体"/>
          <w:color w:val="000000"/>
          <w:sz w:val="22"/>
          <w:szCs w:val="22"/>
        </w:rPr>
      </w:pPr>
      <w:r>
        <w:rPr>
          <w:rFonts w:ascii="宋体" w:hAnsi="宋体" w:cs="宋体"/>
          <w:color w:val="000000"/>
          <w:sz w:val="22"/>
          <w:szCs w:val="22"/>
        </w:rPr>
        <w:t>5.根据权利要求4所述的电机转速测量仪，其特征在于，所述载具上架上与电机的转动轴通过台阶轴相连接，所述台阶轴的一端固定连接在所述载具上架上，所述台阶轴的另一端用于固定连接电机的转动轴；</w:t>
      </w:r>
    </w:p>
    <w:p>
      <w:pPr>
        <w:ind w:firstLine="480" w:firstLineChars="200"/>
        <w:rPr>
          <w:rFonts w:ascii="宋体" w:hAnsi="宋体" w:cs="宋体"/>
          <w:color w:val="000000"/>
          <w:sz w:val="22"/>
          <w:szCs w:val="22"/>
        </w:rPr>
      </w:pPr>
      <w:r>
        <w:rPr>
          <w:rFonts w:ascii="宋体" w:hAnsi="宋体" w:cs="宋体"/>
          <w:color w:val="000000"/>
          <w:sz w:val="22"/>
          <w:szCs w:val="22"/>
        </w:rPr>
        <w:t>还包括有测试支架，所述台阶轴转动设置在所述测试支架上。</w:t>
      </w:r>
    </w:p>
    <w:p>
      <w:pPr>
        <w:ind w:firstLine="480" w:firstLineChars="200"/>
        <w:rPr>
          <w:rFonts w:ascii="宋体" w:hAnsi="宋体" w:cs="宋体"/>
          <w:color w:val="000000"/>
          <w:sz w:val="22"/>
          <w:szCs w:val="22"/>
        </w:rPr>
      </w:pPr>
      <w:r>
        <w:rPr>
          <w:rFonts w:ascii="宋体" w:hAnsi="宋体" w:cs="宋体"/>
          <w:color w:val="000000"/>
          <w:sz w:val="22"/>
          <w:szCs w:val="22"/>
        </w:rPr>
        <w:t>6.根据权利要求5所述的电机转速测量仪，其特征在于，所述测试支架包括顶板，所述顶板上卡嵌有法兰轴承，所述台阶轴卡嵌在所述法兰轴承的内圈中并贯通所述顶板。</w:t>
      </w:r>
    </w:p>
    <w:p>
      <w:pPr>
        <w:ind w:firstLine="480" w:firstLineChars="200"/>
        <w:rPr>
          <w:rFonts w:ascii="宋体" w:hAnsi="宋体" w:cs="宋体"/>
          <w:color w:val="000000"/>
          <w:sz w:val="22"/>
          <w:szCs w:val="22"/>
        </w:rPr>
      </w:pPr>
      <w:r>
        <w:rPr>
          <w:rFonts w:ascii="宋体" w:hAnsi="宋体" w:cs="宋体"/>
          <w:color w:val="000000"/>
          <w:sz w:val="22"/>
          <w:szCs w:val="22"/>
        </w:rPr>
        <w:t>7.根据权利要求6所述的电机转速测量仪，其特征在于，所述台阶轴靠电机的一端设置有轴环，所述台阶轴上套设有推力滚针轴承，所述推力滚针轴承位于所述轴环与所述顶板之间；所述台阶轴靠近电机的一端用于通过联轴器固定连接电机的转动轴。</w:t>
      </w:r>
    </w:p>
    <w:p>
      <w:pPr>
        <w:ind w:firstLine="480" w:firstLineChars="200"/>
        <w:rPr>
          <w:rFonts w:ascii="宋体" w:hAnsi="宋体" w:cs="宋体"/>
          <w:color w:val="000000"/>
          <w:sz w:val="22"/>
          <w:szCs w:val="22"/>
        </w:rPr>
      </w:pPr>
      <w:r>
        <w:rPr>
          <w:rFonts w:ascii="宋体" w:hAnsi="宋体" w:cs="宋体"/>
          <w:color w:val="000000"/>
          <w:sz w:val="22"/>
          <w:szCs w:val="22"/>
        </w:rPr>
        <w:t>8.根据权利要求6所述的电机转速测量仪，其特征在于，所述顶板上固定设置有电机安装架，所述电机安装架围绕所述台阶轴，所述电机安装架用于对电机进行支撑，在所述电机安装架上固定设置有电机固定架，所述电机固定架用于包裹电机并对电机进行固定。</w:t>
      </w:r>
    </w:p>
    <w:p>
      <w:pPr>
        <w:ind w:firstLine="480" w:firstLineChars="200"/>
        <w:rPr>
          <w:rFonts w:ascii="宋体" w:hAnsi="宋体" w:cs="宋体"/>
          <w:color w:val="000000"/>
          <w:sz w:val="22"/>
          <w:szCs w:val="22"/>
        </w:rPr>
      </w:pPr>
      <w:r>
        <w:rPr>
          <w:rFonts w:ascii="宋体" w:hAnsi="宋体" w:cs="宋体"/>
          <w:color w:val="000000"/>
          <w:sz w:val="22"/>
          <w:szCs w:val="22"/>
        </w:rPr>
        <w:t>9.根据权利要求6所述的电机转速测量仪，其特征在于，所述测试支架还包括底座，所述底座与所述顶板之间通过支撑梁进行固定连接，所述支撑梁设置有三根，所述三根支撑梁呈三角形分布。</w:t>
      </w:r>
    </w:p>
    <w:p>
      <w:pPr>
        <w:ind w:firstLine="480" w:firstLineChars="200"/>
        <w:rPr>
          <w:rFonts w:ascii="宋体" w:hAnsi="宋体" w:cs="宋体"/>
          <w:color w:val="000000"/>
          <w:sz w:val="22"/>
          <w:szCs w:val="22"/>
        </w:rPr>
      </w:pPr>
      <w:r>
        <w:rPr>
          <w:rFonts w:ascii="宋体" w:hAnsi="宋体" w:cs="宋体"/>
          <w:color w:val="000000"/>
          <w:sz w:val="22"/>
          <w:szCs w:val="22"/>
        </w:rPr>
        <w:t>10.根据权利要求9所述的电机转速测量仪，其特征在于，所述底座上固定设置有感应器安装台，所述感应器固定台插接在所述感应器安装台上。</w:t>
      </w:r>
    </w:p>
    <w:p>
      <w:pPr>
        <w:ind w:firstLine="480" w:firstLineChars="200"/>
        <w:rPr>
          <w:rFonts w:ascii="宋体" w:hAnsi="宋体" w:cs="宋体"/>
          <w:color w:val="000000"/>
          <w:sz w:val="22"/>
          <w:szCs w:val="22"/>
        </w:rPr>
      </w:pPr>
      <w:r>
        <w:rPr>
          <w:rFonts w:ascii="宋体" w:hAnsi="宋体" w:cs="宋体"/>
          <w:b/>
          <w:color w:val="000000"/>
          <w:sz w:val="3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说 明 书</w:t>
            </w:r>
          </w:p>
        </w:tc>
      </w:tr>
    </w:tbl>
    <w:p w:rsidR="002876FB">
      <w:pPr>
        <w:ind w:firstLine="480" w:firstLineChars="200"/>
        <w:jc w:val="center"/>
        <w:rPr>
          <w:rFonts w:ascii="宋体" w:hAnsi="宋体" w:cs="宋体"/>
          <w:color w:val="000000"/>
          <w:sz w:val="22"/>
          <w:szCs w:val="22"/>
        </w:rPr>
      </w:pPr>
      <w:r>
        <w:rPr>
          <w:rFonts w:ascii="宋体" w:eastAsia="宋体" w:hAnsi="宋体" w:cs="宋体"/>
          <w:b/>
          <w:color w:val="000000"/>
          <w:sz w:val="26"/>
          <w:szCs w:val="22"/>
        </w:rPr>
        <w:t>一种电机转速测量仪</w:t>
      </w:r>
    </w:p>
    <w:p>
      <w:pPr>
        <w:ind w:firstLine="480" w:firstLineChars="200"/>
        <w:jc w:val="both"/>
        <w:rPr>
          <w:rFonts w:ascii="宋体" w:eastAsia="宋体" w:hAnsi="宋体" w:cs="宋体"/>
          <w:b/>
          <w:color w:val="000000"/>
          <w:sz w:val="26"/>
          <w:szCs w:val="22"/>
        </w:rPr>
      </w:pPr>
      <w:r>
        <w:rPr>
          <w:rFonts w:ascii="宋体" w:eastAsia="宋体" w:hAnsi="宋体" w:cs="宋体"/>
          <w:b/>
          <w:color w:val="000000"/>
          <w:sz w:val="22"/>
          <w:szCs w:val="22"/>
        </w:rPr>
        <w:t>技术领域</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本实用新型涉及转速传感器领域，尤其涉及的是一种电机转速测量仪。</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背景技术</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市场上销售的用于测量电机转速的磁性传感器有三大类，霍尔效应式，磁阻效应式和各向异性磁阻效应式，但是这三大类的磁性传感器所采用的制造材料主要是磁性合金和稀土半导体。</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但市场上暂无销售利用石墨烯自旋增强效应来测量电机转速的传感仪器，石墨烯材料的磁效应进行自旋增强用于制作电机的测速传感器并没有出现相关设备。石墨烯材料的磁效应进行自旋增强的原理：在衬底上通过ECR进行石墨烯纳晶碳膜的沉积，其在室温下具备霍尔效应，即对磁场有所感应。</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因此，现有技术还有待于改进和发展。</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实用新型内容</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鉴于上述现有技术的不足，本实用新型的目的在于提供一种电机转速测量仪，旨在用于具有霍尔效应传感器制作的测量仪，特别是通过石墨烯传感器的自旋增强效应，通过带动石墨烯传感器周边的磁场进行转动，旋转变化的磁场中的石墨烯传感器感应磁性变化进行测量电机转速，精准地测量和监控电机的实时转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本实用新型的技术方案如下：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一种电机转速测量仪，其中，包括用于固定连接在电机的转动轴上的磁铁载具，固定设置在所述磁铁载具内并沿所述电机的转动轴线对称排布的磁铁，贯穿所述磁铁载具且位于所述磁铁的对称轴线上的感应器固定台，所述感应器固定台用于可拆卸连接感应器并使感应器位于所述磁铁形成的磁场内。</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进一步，所述磁铁载具包括磁铁安装板，在所述磁铁安装板朝向电机的表面上开设有感应定位孔，在所述感应定位孔中轴对称的两侧分别开设有磁铁安装槽；</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所述感应器固定台位于所述感应定位孔中，所述磁铁位于所述磁铁安装槽中。</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进一步，所述磁铁安装板的两端分别开设有螺纹孔，所述螺纹孔贯通所述磁铁安装槽，所述侧面螺纹孔内连接有固定螺钉，所述固定螺钉的末端抵靠固定所述磁铁。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进一步，所述磁铁载具还包括有位于磁铁安装板的两端分别固定设置的连接板，在两端的连接板之间固定连接有载具上架，所述载具上架固定连接所述电机的转动轴。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进一步，所述载具上架上与所述电机的转动轴通过台阶轴相固定，所述台阶轴的一端固定连接在所述载具上架上，所述台阶轴的另一端用于固定连接电机；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还包括有测试支架，所述台阶轴转动设置在所述测试支架上。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进一步，所述测试支架包括顶板，所述顶板上卡嵌有法兰轴承，所述台阶轴卡嵌在所述法兰轴承的内圈中并贯通所述顶板。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进一步，所述台阶轴靠电机的一端设置有轴环，所述台阶轴上套设有推力滚针轴承，所述推力滚针轴承位于所述轴环与所述顶板之间；所述台阶轴靠近电机的一端用于通过联轴器固定连接电机的转动轴。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顶板上固定设置有电机安装架，所述电机安装架围绕所述台阶轴，所述电机安装架用于对电机进行支撑，在所述电机安装架上固定设置有电机固定架，所述电机固定架用于包裹电机并对电机进行固定。</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进一步，所述测试支架还包括底座，所述底座与所述顶板之间通过支撑梁进行固定连接，所述支撑梁设置有三根，所述三根支撑梁呈三角形分布。</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进一步，所述底座上固定设置有感应器安装台，所述感应器固定台插接在所述感应器安装台上。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与现有技术相比，本实用新型提出的一种电机转速测量仪，本实用新型提出的一种电机转速测量仪，通过感应器固定台固定感应器不动，待测电机带动磁铁载具上的磁铁转动，而产生角度周期性变化的磁场，感应器在角度周期变化的磁场中检测到磁场的变化周期从而计算出提供动力的被测电机的转速，特别是使用石墨烯感应器，通过在石墨烯感应器上施加周期变化的磁场，引起石墨烯材料的自旋增强磁效应，更精准地测量和监控电机的实时转速。</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附图说明</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图1为本实用新型一种电机转速测量仪的实施例的结构示意图；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图2为本实用新型一种电机转速测量仪的实施例的剖视图；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图3为本实用新型一种电机转速测量仪的实施例的爆炸图；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中各标号：100、磁铁载具；110、磁铁安装板；111、感应定位孔；112、磁铁安装槽；113、侧面螺纹孔；120、连接板；130、载具上架；131、方形槽；132、锁紧螺钉；140、滑槽；150、滑块；200、磁铁；300、感应器固定台；400、测试支架；410、底座；420、顶板；430、支撑梁；431、支撑杆；432、上支撑台；433、下支撑台；500、感应器安装台；600、法兰轴承；610、台阶轴；611、轴环；612、方头端；620、推力滚针轴承；700、电机安装架；710、电机固定架。</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具体实施方式</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提供了一种电机转速测量仪，为使本实用新型的目的、技术方案及效果更加清楚、明确，以下参照附图并举实例对本实用新型进一步详细说明。应当理解，此处所描述的具体实施例仅仅用以解释本实用新型，并不用于限定本实用新型。</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本实用新型提供了一种电机转速测量仪，用于霍尔效应感应器，特别是石墨烯感应器测量转速，包括与电机(图示中未画出)固定连接并与电机同步转动的磁铁载具100，所述电机为被测电机，在所述磁铁载具100内设置有多个磁铁200，多个所述磁铁200沿所述电机的转动轴线对称排布，使所述磁铁200所形成的磁场的磁感线与所述电机的转动轴线垂直。所述磁铁载具100上贯穿设置有感应器固定台300，感应器固定台300位于所述磁铁200的对称轴线上，所述感应器固定台300用于可拆卸连接感应器(图示中未画出)，本实施例中的感应器为石墨烯感应器，感应器位于所述磁铁200形成的磁场内，因此感应器位于所述转动轴线上。感应器也可以为其他霍尔效应感应器，也可用于电机测试。因此所述磁铁载具100转动，感应器固定台300固定不动，磁铁载具100上的磁铁200产生的磁场由于磁铁载具100的转动，而产生角度周期性变化的磁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方案中的感应器在角度周期变化的磁场中检测到磁场的变化周期从而计算出提供动力的被测电机的转速，特别是使用石墨烯感应器。通过在石墨烯感应器上施加周期变化的磁场，引起石墨烯材料的自旋增强磁效应，更精准地测量和监控电机的实时转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图2所示，本实施例的具体结构为：包括有测试支架400，测试支架400沿竖直方向设置，所述测试支架400用于支撑整个测量仪结构，所述测试支架400包括底座410，位于底座410上方的顶板420，所述底座410与顶板420之间设置有若干支撑梁430，通过支撑梁430实现支撑，本实施例中设置的支撑梁430有三根，三根支撑梁430呈三角形分布，具体可以为等边三角形分布，所述底座410与所述顶板420也均采用三角形板，这样在相互结构限制下，使测量仪在运转时外部结构非常稳定，解决了电动机在运行时由于晃动而导致磁场不稳定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所述底座410上沿竖直方向固定设置有感应器安装台500，所述感应器安装台500上开设有固定台定位孔(图示中未标注)，所述感应器固定台300插接在所述固定台定位孔中，从而实现感应器固定台300与感应器安装台500之间的固定，而且插拔连接，方便安装与拆卸感应器。</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2、图3所示，在所述顶板420上开设有通孔，通孔位于顶板420中心，通孔中卡嵌有法兰轴承600，在所述法兰轴承600的内圈中卡嵌有台阶轴610，台阶轴610贯通所述顶板420，台阶轴610的一端位于顶板420以上，台阶轴610的另一端位于顶板420以下，台阶轴610位于顶板420上的一端用于通过联轴器(图示中未画出)固定连接电机，即待测电机。具体结构为，在所述顶板420上通过螺钉固定设置有电机安装架700，所述电机安装架700围绕所述台阶轴610，所述电机安装架700用于对电机进行支撑，在所述电机安装架700上通过螺钉固定设置有电机固定架710，所述电机固定架710用于包裹电机并对电机进行固定，这样，待测电机直接可放置于电机固定架710中，再通过联轴器与台阶轴610的上端进行固定，电机固定架710卡嵌电机，解决了电机转动时自身抖动导致磁场不稳定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所述台阶轴610靠电机的一端设置有轴环611，所述台阶轴610上套设有推力滚针轴承620，所述推力滚针轴承620位于所述轴环611与所述顶板420之间；台阶轴610通过推力滚针轴承620与法兰轴承600固定于顶板420上，推力滚针轴承620可防止台阶轴610的传动过程中的抖动，从而避免了台阶轴610在传动过程抖动导致磁场不稳定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台阶轴610的下端固定连接磁铁载具100，本实施例中连接位置位于磁铁载具100的中心。所述磁铁载具100包括磁铁安装板110、位于所述磁铁安装板110两端的连接板120，在两端的连接板120之间且固定连接在两连接板120上的载具上架130；所述连接板120沿竖直方向设置，所述载具上架130与所述台阶轴610固定连接，具体方式为，在所述台阶轴610的末端开设为方头端612，在所述载具上架130上开设有用于卡嵌方头端612的方形槽131，所述台阶轴610的方头端612底面开设螺纹孔，通过锁紧螺钉132螺接实现台阶轴610与载具上架130的固定。</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所述载具上架130的下表面两端位置分别开设有滑槽140，在两端的连接板120的上表面上分别固定安装有滑块150，所述滑块150可直接推入到滑槽140中实现卡嵌固定，方便载具上架130与下方磁铁安装板110的安装与拆卸。</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磁铁载具100的磁铁安装板110朝向电机的表面上(上表面)开设有感应定位孔111，在所述感应定位孔111对称的两侧分别开设有磁铁安装槽112；所述感应器固定台300位于所述感应定位孔111中，所述磁铁安装槽112为方形，朝向磁铁安装板110的两端延伸，所述磁铁200位于所述磁铁安装槽112中。这样在感应定位孔111中放置感应器，所述感应器两侧对称设置磁铁200，且所述感应器位于所述台阶轴610的旋转中心位置，从而使磁铁200产生垂直与旋转轴线的磁感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图3所示，所述磁铁安装板110的两端分别开设有侧面螺纹孔113，所述侧面螺纹孔113贯通所述磁铁安装槽112，所述侧面螺纹孔113内连接有固定螺钉(图示中未画出)，所述固定螺钉的末端抵靠固定所述磁铁200。所述固定螺钉为塑料螺钉，通过拧动塑料螺钉，使塑料螺钉的末端抵紧磁铁200，使磁铁200能完全卡嵌在所述磁铁安装槽112内，起到方便拆卸磁铁200，起到固定磁铁200的作用，解决了转动时磁铁200抖动导致磁场不稳定的问题。也可根据测量的需求更换不同样式磁铁200，实现不同规模的测试。</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通过载具上架130上开滑槽140，固定连接在连接板120的上端滑块150，磁铁安装板110的两端开有侧面螺纹孔113、通过拧入塑料螺丝固定磁铁200，起到方便拆卸磁铁200的作用。通过台阶轴610的轴线(旋转轴线)与感应器固定台300及感应器在同一轴线上，且感应器固定台300穿过磁铁载具100的感应定位孔111，感应定位孔111也设置在磁铁载具100的中心，两侧放置磁铁200，使理论最大磁场增大。</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2所示，为使结构稳定，所述支撑梁430的结构包括竖直设置的支撑杆431，位于支撑杆431上端的上支撑台432，以及位于支撑杆431下端的下支撑台433，所述顶板420通过螺钉固定在所述上支撑台432上，上支撑台432对顶板进行支撑，所述底座410通过螺钉固定在所述下支撑台433的下方，为使底座410稳定放置，所述螺钉固定的位置均开设为沉孔结构。</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综上所述，本实用新型提出的一种电机转速测量仪，通过感应器固定台固定感应器不动，待测电机带动磁铁载具上的磁铁转动，而产生角度周期性变化的磁场，感应器在角度周期变化的磁场中检测到磁场的变化周期从而计算出提供动力的被测电机的转速，特别是使用石墨烯感应器，通过在石墨烯感应器上施加周期变化的磁场，引起石墨烯材料的自旋增强磁效应，更精准地测量和监控电机的实时转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应当理解的是，本实用新型的应用不限于上述的举例，对本领域普通技术人员来说，可以根据上述说明加以改进或变换，所有这些改进和变换都应属于本实用新型所附权利要求的保护范围。</w:t>
      </w:r>
    </w:p>
    <w:p>
      <w:pPr>
        <w:ind w:firstLine="480" w:firstLineChars="200"/>
        <w:jc w:val="both"/>
        <w:rPr>
          <w:rFonts w:ascii="宋体" w:eastAsia="宋体" w:hAnsi="宋体" w:cs="宋体"/>
          <w:b w:val="0"/>
          <w:color w:val="000000"/>
          <w:sz w:val="22"/>
          <w:szCs w:val="22"/>
        </w:rPr>
      </w:pPr>
      <w:r>
        <w:rPr>
          <w:rFonts w:ascii="宋体" w:hAnsi="宋体" w:cs="宋体"/>
          <w:color w:val="000000"/>
          <w:sz w:val="22"/>
          <w:szCs w:val="2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szCs w:val="32"/>
              </w:rPr>
            </w:pPr>
            <w:r>
              <w:rPr>
                <w:rFonts w:ascii="宋体" w:hAnsi="宋体" w:cs="宋体" w:hint="eastAsia"/>
                <w:b/>
                <w:color w:val="000000"/>
                <w:sz w:val="32"/>
                <w:szCs w:val="32"/>
              </w:rPr>
              <w:t>说 明 书 附 图</w:t>
            </w:r>
          </w:p>
        </w:tc>
      </w:tr>
    </w:tbl>
    <w:p w:rsidR="002876FB">
      <w:pPr>
        <w:jc w:val="center"/>
        <w:rPr>
          <w:rFonts w:ascii="宋体" w:hAnsi="宋体" w:cs="宋体"/>
          <w:b/>
          <w:color w:val="000000"/>
          <w:sz w:val="26"/>
          <w:szCs w:val="22"/>
        </w:rPr>
      </w:pPr>
      <w:r>
        <w:rPr>
          <w:rFonts w:ascii="宋体" w:hAnsi="宋体" w:cs="宋体"/>
          <w:b/>
          <w:color w:val="000000"/>
          <w:sz w:val="26"/>
          <w:szCs w:val="22"/>
        </w:rPr>
        <w:pict>
          <v:shape id="_x0000_i1027" type="#_x0000_t75" style="height:408pt;width:375pt">
            <v:imagedata r:id="rId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8" type="#_x0000_t75" style="height:495pt;width:375pt">
            <v:imagedata r:id="rId1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9" type="#_x0000_t75" style="height:525.75pt;width:375pt">
            <v:imagedata r:id="rId11"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p>
    <w:sectPr>
      <w:footerReference w:type="default" r:id="rId12"/>
      <w:pgSz w:w="11906" w:h="16838"/>
      <w:pgMar w:top="1440" w:right="1800" w:bottom="1440" w:left="1800"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6FB">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height:2in;margin-left:0;margin-top:0;mso-position-horizontal:center;mso-position-horizontal-relative:margin;mso-wrap-distance-bottom:0;mso-wrap-distance-left:9pt;mso-wrap-distance-right:9pt;mso-wrap-distance-top:0;mso-wrap-style:none;position:absolute;v-text-anchor:top;visibility:visible;width:2in;z-index:251659264" filled="f" stroked="f">
              <v:textbox style="mso-fit-shape-to-text:t" inset="0,0,0,0">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noPunctuationKerning/>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rPr>
      <w:sz w:val="18"/>
      <w:szCs w:val="18"/>
    </w:rPr>
  </w:style>
  <w:style w:type="paragraph" w:styleId="Footer">
    <w:name w:val="footer"/>
    <w:basedOn w:val="Normal"/>
    <w:link w:val="a1"/>
    <w:pPr>
      <w:tabs>
        <w:tab w:val="center" w:pos="4153"/>
        <w:tab w:val="right" w:pos="8306"/>
      </w:tabs>
      <w:snapToGrid w:val="0"/>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qFormat/>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a">
    <w:name w:val="批注框文本 字符"/>
    <w:link w:val="BalloonText"/>
    <w:rPr>
      <w:sz w:val="18"/>
      <w:szCs w:val="18"/>
    </w:rPr>
  </w:style>
  <w:style w:type="character" w:customStyle="1" w:styleId="a0">
    <w:name w:val="页眉 字符"/>
    <w:link w:val="Header"/>
    <w:uiPriority w:val="99"/>
    <w:qFormat/>
    <w:rPr>
      <w:sz w:val="18"/>
      <w:szCs w:val="18"/>
    </w:rPr>
  </w:style>
  <w:style w:type="character" w:customStyle="1" w:styleId="a1">
    <w:name w:val="页脚 字符"/>
    <w:link w:val="Footer"/>
    <w:qFormat/>
    <w:rPr>
      <w:sz w:val="18"/>
      <w:szCs w:val="18"/>
    </w:rPr>
  </w:style>
  <w:style w:type="paragraph" w:customStyle="1" w:styleId="1">
    <w:name w:val="无间隔1"/>
    <w:link w:val="a2"/>
    <w:uiPriority w:val="1"/>
    <w:qFormat/>
    <w:rPr>
      <w:rFonts w:ascii="Calibri" w:hAnsi="Calibri"/>
      <w:sz w:val="22"/>
      <w:szCs w:val="22"/>
    </w:rPr>
  </w:style>
  <w:style w:type="character" w:customStyle="1" w:styleId="a2">
    <w:name w:val="无间隔 字符"/>
    <w:link w:val="1"/>
    <w:uiPriority w:val="1"/>
    <w:qFormat/>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image" Target="media/image6.jpeg"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91564F-4946-47A1-9AAA-7EDF50A0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（19）中国人民共和国国家知识产权局</dc:title>
  <dc:creator>王彬彬</dc:creator>
  <cp:keywords>PubNum</cp:keywords>
  <cp:lastModifiedBy>dz-pc</cp:lastModifiedBy>
  <cp:revision>60</cp:revision>
  <dcterms:created xsi:type="dcterms:W3CDTF">2014-06-10T08:23:00Z</dcterms:created>
  <dcterms:modified xsi:type="dcterms:W3CDTF">2017-04-19T07:52:00Z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