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一种直流电源插座第一电源引脚的装配装置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CN201922142892.X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20191203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[汪新荣, 王晶超, 曾纪濂, 黄虹宾, 赵锟, 梁豆豆, 唐墅, 漆圣丰, 罗来曾, 曾子立, 姚立交]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H01R43/20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CN211829497U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20201030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深圳世科丰专利代理事务所（特殊普通合伙）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[杜启刚]</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CN211829497U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20201030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CN201922142892.X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20191203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[汪新荣, 王晶超, 曾纪濂, 黄虹宾, 赵锟, 梁豆豆, 唐墅, 漆圣丰, 罗来曾, 曾子立, 姚立交]</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深圳世科丰专利代理事务所（特殊普通合伙）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[杜启刚]</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一种直流电源插座第一电源引脚的装配装置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8.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直流电源插座第一电源引脚的装配装置，包括机架，绝缘壳组件夹具和夹装机构，夹装机构包括平移气缸、横移气缸、手指气缸、第一电源引脚夹手和第一电源引脚通道，第一电源引脚通道的后端与振动盘的送料通道连接；平移气缸固定在机架上，横移气缸固定在平移气缸活塞杆的前端；手指气缸的缸体竖直地固定在横移气缸的活塞杆上，第一电源引脚夹手安装在手指气缸下端的手指上；第一电源引脚通道位于第一电源引脚夹手的下方，绝缘壳组件夹具布置在第一电源引脚夹装机构的前方。本实用新型可以提高第一电源引脚与绝缘壳组件装配的生产率，并为直流电源插座后续机械自动装配提供装配基础。</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直流电源插座第一电源引脚的装配装置，包括机架，其特征在于，包括绝缘壳组件夹具和第一电源引脚夹装机构，第一电源引脚夹装机构包括第一电源引脚通道、平移气缸、横移气缸、第一手指气缸和第一电源引脚夹手，第一电源引脚通道的后端与第一电源引脚振动盘的送料通道连接；平移气缸的缸体固定在机架上，沿X轴方向布置；横移气缸的缸体沿Y轴方向布置，固定在平移气缸活塞杆的前端；第一手指气缸的缸体竖直地固定在横移气缸的活塞杆上，第一电源引脚夹手安装在第一手指气缸下端的手指上；第一电源引脚通道安装在机架上，位于第一电源引脚夹手的下方，第一电源引脚通道的滑槽沿X轴方向布置；沿X轴方向，绝缘壳组件夹具布置在第一电源引脚夹装机构的前方。</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2.根据权利要求1所述的装配装置，其特征在于，第一电源引脚夹装机构包括平移气缸行程的限位块，限位块固定在机架上，沿X轴方向，布置在横移气缸的缸体的前方。</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装配装置，其特征在于，第一电源引脚通道包括底座和压板座，底座包括支承第一电源引脚环形圈的托板，托板顶面的外侧包括突棱；托板的底部包括第一电源引脚弹性触头的避让槽；压板座为倒L形，包括压板和支承座，压板布置在托板的上方，压板边缘与突棱之间的间隙形成第一电源引脚接线脚的滑槽，压板底面与托板顶面之间的间隙形成第一电源引脚环形圈的滑槽；托板内侧边缘与支承座的间隙形成第一电源引脚弹性触头的通道。</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4.根据权利要求3所述的装配装置，其特征在于，第一电源引脚通道包括挡块，挡块固定在托板顶面的前端；挡块后端面与压板前端面之间的间隙形成第一电源引脚接线脚的出口。</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装配装置，其特征在于，包括翻转机械手，翻转机械手包括旋转气缸和两套压夹机构；两套压夹机构中心对称地安装在旋转气缸的转盘上，压夹机构包括压头、压头驱动气缸、绝缘壳夹手和第二手指气缸；弧形的绝缘壳夹手固定在第二手指气缸的手指上，第二手指气缸的缸体和压头固定在压头驱动气缸活塞杆的端部；压头的轴线与弧形的绝缘壳夹手的对称轴线同轴；所述的压头和绝缘壳夹手组成所述的绝缘壳组件夹具。</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装配装置，其特征在于，压头驱动气缸为多杆气缸，包括T形连接板，T形连接板的横板的固定在压头驱动气缸活塞杆的端部；第二手指气缸的缸体固定在T形连接板的横板上，压头固定在T形连接板的竖板上；第二手指气缸手指的工作平面与压头驱动气缸活塞杆正交，压头的轴线与压头驱动气缸活塞杆平行。</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7.根据权利要求6所述的装配装置，其特征在于，所述的压头为阶梯轴，阶梯轴的大轴端固定在T形连接板上，大轴的直径小于绝缘壳内腔的直径，小轴的直径小于绝缘壳芯轴孔的直径。</w:t>
      </w:r>
    </w:p>
    <w:p>
      <w:pPr>
        <w:ind w:firstLine="480" w:firstLineChars="200"/>
        <w:rPr>
          <w:rFonts w:ascii="宋体" w:hAnsi="宋体" w:cs="宋体"/>
          <w:color w:val="000000"/>
          <w:sz w:val="22"/>
          <w:szCs w:val="22"/>
        </w:rPr>
      </w:pPr>
      <w:r>
        <w:rPr>
          <w:rFonts w:ascii="宋体" w:hAnsi="宋体" w:cs="宋体"/>
          <w:color w:val="000000"/>
          <w:sz w:val="22"/>
          <w:szCs w:val="22"/>
        </w:rPr>
        <w:t>8.根据权利要求5所述的装配装置，其特征在于，旋转气缸为两工位180°旋转气缸，当旋转气缸将压夹机构的压头转动到竖直向上位置时，绝缘壳组件夹具位于第一电源引脚夹装机构的前方。</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一种直流电源插座第一电源引脚的装配装置</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本实用新型涉及直流电源插座的组装设备，尤其涉及一种直流电源插座第一电源引脚的装配装置。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直流电源插座主要用作小型电器设备的外接直流电源插座。DC025直流电源插座包括芯轴、小绝缘垫、插断引脚、绝缘壳、负极引脚(第一电源引脚)、大绝缘垫、正极引脚(第二电源引脚)、螺纹头、弹垫和扁螺母10个配件。DC025 直流电源插座采用传统的手工装配，一个熟练的装配工人的装配效率是5个/分钟，每天工作10个小时，单日生产效率为3000个/人左右，生产效率很低，需要一种稳定、安全、可靠的自动化装配设备来代替人工完成装配，以减少对人工装配的依赖、降低人工成本、升级生产模式、提高市场竞争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DC025直流电源插座绝缘壳的内孔为阶梯孔，阶梯孔的小孔位于绝缘壳轴向的小端，小孔为芯轴孔；绝缘壳在阶梯孔大孔方向的端部包括外伸的突缘，绝缘壳的侧壁包括插断引脚的插槽和第一电源引脚(负极引脚)的插槽，绝缘壳小端的端面为第一电源引脚的安装面，包括安装第一电源引脚环形圈内孔的定位凸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电源引脚(负极引脚)包括接线脚、环形圈和弹性触头，接线脚平行于环形圈的中轴线，一端与环形圈的周边连接，另一端悬臂；弹性触头的一端与环形圈的周边连接，另一端向内斜向伸出，伸出的方向与接线脚伸出的方向相反；弹性触头与接线脚沿环形圈的周向错开180°。向绝缘壳上安装负极引脚时，绝缘壳已先与插断引脚组合成组件，负极引脚再与绝缘壳组合，负极引脚的弹性触头需要安装到绝缘壳的第一电源引脚的插槽中，负极引脚的环形圈要坐落到绝缘壳小端的端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负极引脚与绝缘壳和插断引脚的组合件是直流电源插座其它零部件的安装基础，所以首先需要将负极引脚与绝缘壳和插断引脚组合起来，为进一步安装芯轴、大小绝缘垫、正极引脚、螺纹头、弹垫和扁螺母创造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本实用新型要解决的技术问题是提供一种直流电源插座第一电源引脚的装配装置，以提高第一电源引脚与绝缘壳组件装配的生产率，并为直流电源插座后续机械自动装配提供装配基础。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实用新型采用的技术方案是，一种直流电源插座第一电源引脚的装配装置，包括机架，绝缘壳组件夹具和第一电源引脚夹装机构，第一电源引脚夹装机构包括第一电源引脚通道、平移气缸、横移气缸、第一手指气缸和第一电源引脚夹手，第一电源引脚通道的后端与第一电源引脚振动盘的送料通道连接；平移气缸的缸体固定在机架上，沿X轴方向布置；横移气缸的缸体沿Y轴方向布置，固定在平移气缸活塞杆的前端；第一手指气缸的缸体竖直地固定在横移气缸的活塞杆上，第一电源引脚夹手安装在第一手指气缸下端的手指上；第一电源引脚通道安装在机架上，位于第一电源引脚夹手的下方，第一电源引脚通道的滑槽沿X轴方向布置；沿X轴方向，绝缘壳组件夹具布置在第一电源引脚夹装机构的前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以上所述的装配装置，第一电源引脚夹装机构包括平移气缸行程的限位块，限位块固定在机架上，沿X轴方向，布置在横移气缸的缸体的前方。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第一电源引脚通道包括底座和压板座，底座包括支承第一电源引脚环形圈的托板，托板顶面的外侧包括突棱；托板的底部包括第一电源引脚弹性触头的避让槽；压板座为倒L形，包括压板和支承座，压板布置在托板的上方，压板边缘与突棱之间的间隙形成第一电源引脚接线脚的滑槽，压板底面与托板顶面之间的间隙形成第一电源引脚环形圈的滑槽；托板内侧边缘与支承座的间隙形成第一电源引脚弹性触头的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以上所述的装配装置，第一电源引脚通道包括挡块，挡块固定在托板顶面的前端；挡块后端面与压板前端面之间的间隙形成第一电源引脚接线脚的出口。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包括翻转机械手，翻转机械手包括旋转气缸和两套压夹机构；两套压夹机构中心对称地安装在旋转气缸的转盘上，压夹机构包括压头、压头驱动气缸、绝缘壳夹手和第二手指气缸；弧形的绝缘壳夹手固定在第二手指气缸的手指上，第二手指气缸的缸体和压头固定在压头驱动气缸活塞杆的端部；压头的轴线与弧形的绝缘壳夹手的对称轴线同轴；所述的压头和绝缘壳夹手组成所述的绝缘壳组件夹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压头驱动气缸为多杆气缸，包括T形连接板，T形连接板的横板的固定在压头驱动气缸活塞杆的端部；第二手指气缸的缸体固定在T形连接板的横板上，压头固定在T形连接板的竖板上；第二手指气缸手指的工作平面与压头驱动气缸活塞杆正交，压头的轴线与压头驱动气缸活塞杆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以上所述的装配装置，所述的压头为阶梯轴，阶梯轴的大轴端固定在T形连接板上，大轴的直径小于绝缘壳内腔的直径，小轴的的直径小于绝缘壳芯轴孔的直径。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以上所述的装配装置，旋转气缸为两工位180°旋转气缸，当旋转气缸将压夹机构的压头转动到竖直向上位置时，绝缘壳组件夹具位于第一电源引脚夹装机构的前方。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本实用新型可以提高第一电源引脚与绝缘壳组件装配的生产率，并为直流电源插座后续机械自动装配提供装配基础。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下面结合附图和具体实施方式对本实用新型作进一步详细的说明。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图1是本实用新型实施例直流电源插座负极引脚装配组件的分解图。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图2是本实用新型实施例直流电源插座负极引脚装配组件的立体图。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图3是本实用新型实施例直流电源插座负极引脚装配装置的主视图。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图4是本实用新型实施例直流电源插座负极引脚装配装置的俯视图。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图5是本实用新型实施例直流电源插座负极引脚装配装置的右视图。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图6是本实用新型实施例直流电源插座负极引脚装配装置的左视图。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图7是本实用新型实施例直流电源插座负极引脚装配装置的局部放大立体图。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图8是本实用新型实施例直流电源插座负极引脚装配装置另一视角的局部放大立体图。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图9是本实用新型实施例负极引脚夹装机构的立体图。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图10是本实用新型实施例负极引脚夹装机构的分解图。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图11是本实用新型实施例翻转机械手的立体图。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图12是本实用新型实施例翻转机械手的分解图。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图13是本实用新型实施例负极引脚通道的主视图。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图14是本实用新型实施例负极引脚通道的左视图。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图15是本实用新型实施例负极引脚通道的俯视图。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图16是本实用新型实施例负极引脚通道的立体图。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图17是本实用新型实施例负极引脚通道的分解图。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DC025直流电源插座负极引脚装配组件的结构如图1和图2所示，包括绝缘壳B04与插断引脚B03的预装件和负极引脚(第一电源引脚)B05，DC025直流电源插座绝缘壳B04的内孔为阶梯孔，阶梯孔的小孔位于绝缘壳B04轴向的小端，小孔是芯轴孔；绝缘壳B04在阶梯孔大孔方向的端部有外伸的突缘B04-1，绝缘壳B04的侧壁有一个负极引脚插槽B04-3，绝缘壳B04小端的端面B04-4为负极电源引脚环形圈的安装面，端面B04-4上有安装负极引脚环形圈内孔的定位凸台B04-5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负极引脚B05(第一电源引脚)包括接线脚B05-1、环形圈B05-2和弹性触头B05-3，接线脚B05-1平行于环形圈B05-2的中轴线，一端与环形圈B05-2 的周边连接，另一端悬臂。弹性触头B05-3的一端与环形圈B05-2的周边连接，另一端向内斜向伸出，伸出的方向与接线脚B05-1伸出的方向相反；弹性触头 B05-3与接线脚B05-1沿环形圈B05-2的周向错开180°。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向绝缘壳B04上安装负极引脚B05时，绝缘壳B04已先与插断引脚B03 组合成预装件，负极引脚B05再与预装件的绝缘壳B04组合，负极引脚B05 的弹性触头B05-3需要安装到绝缘壳B04的负极引脚插槽B04-3中，负极引脚 B05的环形圈B05-2要坐落到绝缘壳B04小端的端面B04-4上。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负极引脚B05、插断引脚B03与绝缘壳B04的组合件是直流电源插座其它零部件的安装基础，为进一步机械化安装芯轴、大小绝缘垫、正极引脚、螺纹头、弹垫和扁螺母创造条件。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直流电源插座负极引脚装配装置的结构如图3至图17所示，包括机架A01，翻转机械手A02和负极引脚夹装机构A03。负极引脚夹装机构A03包括负极引脚通道A03-5、平移气缸A03-1、横移气缸A03-2、手指气缸A03-3和负极引脚夹手A03-4，负极引脚通道A03-5固定在机架A01上，后端与负极引脚振动盘(图中未示出)的送料通道连接。平移气缸A03-1的缸体固定在作为机架A01一部分的支架A01-1的立板上，沿X轴方向布置。横移气缸A03-2的缸体沿Y轴方向布置，固定在平移气缸A03-1活塞杆的前端。手指气缸A03-3的缸体竖直地固定在横移气缸A03-2的活塞杆上，负极引脚夹手 A03-4安装在手指气缸A03-3下端的手指上。限止平移气缸A03-1 X轴方向行程的限位块A01-2，限位块A01-2固定在作为机架A01一部分的支架A01-1上，沿X轴方向，布置在横移气缸A03-2的缸体的前方。手指气缸A03-3两个手指的张开角度为180°。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负极引脚通道A03-5安装在作为机架A01一部分的支架A01-1的底板上，位于负极引脚夹手A03-4的下方，负极引脚通道A03-5的滑槽沿X轴方向布置。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负极引脚通道A03-5包括底座、压板座和挡块A03-5-5，底座包括支承负极引脚环形圈的托板A03-5-1，托板A03-5-1顶面的外侧包括突棱A03-5-11。托板的底部包括负极引脚弹性触头B05-3的避让槽A03-5-12。压板座为倒L形，包括压板A03-5-3和支承座A03-5-2，压板A03-5-3布置在托板A03-5-1的上方，压板A03-5-3的边缘与突棱A03-5-11之间的间隙形成负极引脚接线脚 B05-1的滑槽，压板A03-5-3底面与托板A03-5-1顶面之间的间隙形成负极引脚环形圈B05-2的滑槽。托板A03-5-1内侧边缘与支承座A03-5-2的间隙形成负极引脚弹性触头B05-3的通道。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挡块A03-5-5固定在托板A03-5-1顶面的前端，挡块A03-5-5后端面挡住负极引脚通道A03-5最前端的负极引脚，挡块A03-5-5后端面与压板A03-5-3 前端面之间的间隙形成负极引脚接线脚B05-1的出口。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翻转机械手A02包括旋转气缸A02-1和两套压夹机构。旋转气缸A02-1的缸体水平地固定在机架A01上。旋转气缸A02-1为两工位的180°旋转气缸。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两套压夹机构中心对称地安装在旋转气缸A02-1的转盘A02-1-1的前端面上，压夹机构包括压头A02-2、压头驱动气缸A02-3、夹手A02-4和手指气缸 A02-5。弧形的夹手A02-4固定在手指气缸A02-5的手指上，手指气缸A02-5 的缸体和压头A02-2固定在压头驱动气缸A02-3活塞杆的端部。压头A02-2的轴线与弧形的夹手A02-4的对称轴线同轴。压头A02-2和夹手A02-4共同组成预装件B34的夹具，夹手A02-4夹住绝缘壳B04大端的突缘B04-1，压头A02-2 顶住安装在绝缘壳B04内孔中的插断引脚B03的环形垫。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压头驱动气缸A02-3为多杆气缸，活塞杆的端部装有T形连接板A02-3-1， T形连接板A02-3-1的横板的固定在压头驱动气缸A02-3活塞杆的端部。手指气缸A02-5的缸体固定在T形连接板A02-3-1的横板上，压头A02-2固定在T 形连接板A02-3-1的竖板上。手指气缸A02-5手指的工作平面与压头驱动气缸 A02-3活塞杆正交，压头A02-2的轴线与压头驱动气缸A02-3活塞杆平行。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压头A02-2为阶梯轴，阶梯轴的大轴端固定在T形连接板A02-3-1上，大轴的直径小于绝缘壳B04内腔的直径，小轴的的直径小于绝缘壳芯轴孔的直径。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本实用新型实施例直流电源插座负极引脚装配装置的工作过程如下：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翻转机械手A02压头驱动气缸A02-3活塞杆朝下的压夹机构的夹手A02-4 从插断引脚装配工位夹取绝缘壳B04与插断引脚B03组合成的预装件B34后，旋转气缸A02-1转动180°，夹取预装件的压夹机构的压头驱动气缸A02-3活塞杆朝上，沿X轴方向.夹手A02-4夹取的预装件B34位于负极引脚夹装机构A03 的前方，预装件B34绝缘壳B4的小端朝上，等待安装负极引脚B05。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负极引脚零件B05通过负极引脚振动盘(图中未示出)筛选成接线脚B05-1 竖直朝上，位于Y轴反方向；弹性触头B05-3朝下位于Y轴正方向的姿态沿X 轴正方向成排进入到负极引脚通道A03-5的最前端。手指气缸A03-3带动负极引脚夹手A03-4夹住负极引脚零件B05的接线脚B05-1，横移气缸A03-2的活塞杆沿Y轴正方向伸出，负极引脚夹手A03-4夹住负极引脚零件B05沿Y轴正方向离开负极引脚通道A03-5；平移气缸A03-1的活塞杆沿X轴正方向伸出，负极引脚夹手A03-4夹住负极引脚零件B05沿X轴正方向，平移到翻转机械手 A02夹具夹紧的预装件B34沿Y轴方向的正前方。横移气缸A03-2的活塞杆回缩，负极引脚夹手A03-4夹住负极引脚零件B05沿Y轴反方向平移，负极引脚零件B05弹性触头B05-3的下部进入到组件B34的绝缘壳B04的负极引脚插槽B04-3中，负极引脚零件B05的环形垫B05-2位于绝缘壳B04小端端面B04-4 的正上方，负极引脚夹手A03-4张开，在弹性触头B05-3弹力的作用下，负极引脚零件B05下落，环形垫B05-2坐落到绝缘壳B04端面B04-4上，负极引脚零件B05安装完成。平移气缸A03-1的活塞杆回缩，带动横移气缸A03-2、手指气缸A03-3和负极引脚夹手A03-4回位，负极引脚夹装机构A03一次装配的工作循环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本实用新型以上实施例可以提高负极引脚与绝缘壳组件装配的生产率，并为直流电源插座后续机械自动装配提供装配基础。</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7in;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14.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81.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64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34.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15.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408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76.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523.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512.2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400.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458.2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219.75pt;width:37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327.75pt;width:375pt">
            <v:imagedata r:id="rId2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351pt;width:375pt">
            <v:imagedata r:id="rId2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