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非晶带材的处理装置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CN202022727918.X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20201123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[沈军, 谢顺德, 余得贵, 魏宇]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C21D9/54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CN213951292U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20210813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北京市诚辉律师事务所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[朱伟军]</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CN213951292U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20210813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CN202022727918.X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20201123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[沈军, 谢顺德, 余得贵, 魏宇]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北京市诚辉律师事务所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[朱伟军]</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非晶带材的处理装置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8.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属于非晶合金带材、超声波技术领域，涉及一种非晶带材的处理装置。本实用新型解决上述问题的技术方案是：一种非晶带材的处理装置，包括放料装置和去应力装置；所述去应力装置包括超声滚轴和超声加载工作台；待处理的非晶带材放置在放料装置上，放料装置对待处理的非晶带材进行放料，待处理的非晶带材通过超声加载工作台，超声滚轴对待处理的非晶带材进行去应力处理。本实用新型提出一种非晶带材的处理装置，其可以在非晶带材不脆化的同时去除非晶带材应力，对非晶电机合金的商业化应用具有重大意义。</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1.一种非晶带材的处理装置，其特征在于：包括放料装置和去应力装置；</w:t>
      </w:r>
    </w:p>
    <w:p>
      <w:pPr>
        <w:ind w:firstLine="480" w:firstLineChars="200"/>
        <w:rPr>
          <w:rFonts w:ascii="宋体" w:hAnsi="宋体" w:cs="宋体"/>
          <w:color w:val="000000"/>
          <w:sz w:val="22"/>
          <w:szCs w:val="22"/>
        </w:rPr>
      </w:pPr>
      <w:r>
        <w:rPr>
          <w:rFonts w:ascii="宋体" w:hAnsi="宋体" w:cs="宋体"/>
          <w:color w:val="000000"/>
          <w:sz w:val="22"/>
          <w:szCs w:val="22"/>
        </w:rPr>
        <w:t>所述去应力装置包括超声滚轴和超声加载工作台；</w:t>
      </w:r>
    </w:p>
    <w:p>
      <w:pPr>
        <w:ind w:firstLine="480" w:firstLineChars="200"/>
        <w:rPr>
          <w:rFonts w:ascii="宋体" w:hAnsi="宋体" w:cs="宋体"/>
          <w:color w:val="000000"/>
          <w:sz w:val="22"/>
          <w:szCs w:val="22"/>
        </w:rPr>
      </w:pPr>
      <w:r>
        <w:rPr>
          <w:rFonts w:ascii="宋体" w:hAnsi="宋体" w:cs="宋体"/>
          <w:color w:val="000000"/>
          <w:sz w:val="22"/>
          <w:szCs w:val="22"/>
        </w:rPr>
        <w:t>待处理的非晶带材放置在放料装置上，放料装置对待处理的非晶带材进行放料，待处理的非晶带材通过超声加载工作台，超声滚轴对待处理的非晶带材进行去应力处理。</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2.根据权利要求1所述的一种非晶带材的处理装置，其特征在于：所述超声滚轴设置在超声加载工作台上方。</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3.根据权利要求2所述的一种非晶带材的处理装置，其特征在于：所述超声滚轴的数量为多个。</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4.根据权利要求3所述的一种非晶带材的处理装置，其特征在于：所述超声滚轴的数量为三个。</w:t>
      </w:r>
    </w:p>
    <w:p>
      <w:pPr>
        <w:ind w:firstLine="480" w:firstLineChars="200"/>
        <w:rPr>
          <w:rFonts w:ascii="宋体" w:hAnsi="宋体" w:cs="宋体"/>
          <w:color w:val="000000"/>
          <w:sz w:val="22"/>
          <w:szCs w:val="22"/>
        </w:rPr>
      </w:pPr>
      <w:r>
        <w:rPr>
          <w:rFonts w:ascii="宋体" w:hAnsi="宋体" w:cs="宋体"/>
          <w:color w:val="000000"/>
          <w:sz w:val="22"/>
          <w:szCs w:val="22"/>
        </w:rPr>
        <w:t>5.根据权利要求1-4任一所述的一种非晶带材的处理装置，其特征在于：</w:t>
      </w:r>
    </w:p>
    <w:p>
      <w:pPr>
        <w:ind w:firstLine="480" w:firstLineChars="200"/>
        <w:rPr>
          <w:rFonts w:ascii="宋体" w:hAnsi="宋体" w:cs="宋体"/>
          <w:color w:val="000000"/>
          <w:sz w:val="22"/>
          <w:szCs w:val="22"/>
        </w:rPr>
      </w:pPr>
      <w:r>
        <w:rPr>
          <w:rFonts w:ascii="宋体" w:hAnsi="宋体" w:cs="宋体"/>
          <w:color w:val="000000"/>
          <w:sz w:val="22"/>
          <w:szCs w:val="22"/>
        </w:rPr>
        <w:t>还包括剪裁装置，裁剪装置设置在超声滚轴之后，所述剪裁装置包括驱动机构和执行机构；所述驱动机构驱动执行机构对非晶带材进行剪裁。</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6.根据权利要求5所述的一种非晶带材的处理装置，其特征在于：所述驱动机构为直线运动装置。</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7.根据权利要求6所述的一种非晶带材的处理装置，其特征在于：直线运动装置包括气缸或液压缸，所述气缸或液压缸的活塞杆与执行机构连接。</w:t>
      </w:r>
    </w:p>
    <w:p>
      <w:pPr>
        <w:ind w:firstLine="480" w:firstLineChars="200"/>
        <w:rPr>
          <w:rFonts w:ascii="宋体" w:hAnsi="宋体" w:cs="宋体"/>
          <w:color w:val="000000"/>
          <w:sz w:val="22"/>
          <w:szCs w:val="22"/>
        </w:rPr>
      </w:pPr>
      <w:r>
        <w:rPr>
          <w:rFonts w:ascii="宋体" w:hAnsi="宋体" w:cs="宋体"/>
          <w:color w:val="000000"/>
          <w:sz w:val="22"/>
          <w:szCs w:val="22"/>
        </w:rPr>
        <w:t>8.根据权利要求5所述的一种非晶带材的处理装置，其特征在于：所述执行机构包括剪板刀。</w:t>
      </w:r>
    </w:p>
    <w:p>
      <w:pPr>
        <w:ind w:firstLine="480" w:firstLineChars="200"/>
        <w:rPr>
          <w:rFonts w:ascii="宋体" w:hAnsi="宋体" w:cs="宋体"/>
          <w:color w:val="000000"/>
          <w:sz w:val="22"/>
          <w:szCs w:val="22"/>
        </w:rPr>
      </w:pPr>
      <w:r>
        <w:rPr>
          <w:rFonts w:ascii="宋体" w:hAnsi="宋体" w:cs="宋体"/>
          <w:color w:val="000000"/>
          <w:sz w:val="22"/>
          <w:szCs w:val="22"/>
        </w:rPr>
        <w:t>9.根据权利要求1-4任一所述的一种非晶带材的处理装置，其特征在于：还包括收料装置，收料装置用于对非晶带材进行收卷。</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10.根据权利要求9所述的一种非晶带材的处理装置，其特征在于：所述收料装置为收卷机。</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非晶带材的处理装置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本实用新型属于非晶合金带材、超声波技术领域，涉及一种非晶带材的处理装置。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由于非晶带材的高频损耗很低，可以通过提高频率实现电机的高转速、高功率密度和高转矩密度。近年来得到迅速发展，获得了广泛的应用，已经被成功应用于电力、电子变压器铁芯，可使变压器的空载损耗降低70％以上。可想而知，如果将非晶合金替代电机中的硅钢片，能够有效地提升我国高端驱动领域的研制生产水平，具有重要的经济效益和社会效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而非晶合金材料虽然有优异的电磁特性，但其对应力的敏感性又特别高，只要粘接剂层或是运输过程中使非晶薄带受到外力作用，又或是对材料的磁致伸缩产生限制而使材料产生内应力，哪怕产生的应力很小，都会使材料的磁性能大大降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非晶铁芯在生产中产生的应力是十分复杂的，其有可能是在运输过程外力造成的，也有可能是非晶叠片间的粘接剂所产生的应力，应力去除的最佳时刻往往是非晶铁芯加工成型的时候。传统的非晶合金去除应力的方法是进行退火处理，而退火处理后的温度往往需要300度以上，而非晶铁芯的绝缘层一般的耐热温度为150度，这就会对非晶铁芯的绝缘层造成破坏。并且经过退火处理的非晶合金由于结构弛豫等原因开始脆化，韧性急剧下降，受到外力，铁芯易碎，软磁性能的稳定性也无法保证，严重影响非晶铁芯的实际使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为解决上述背景技术中存在的问题，本实用新型提出一种非晶带材的处理装置，其可以在非晶带材不脆化的同时去除非晶带材应力，对非晶电机合金的商业化应用具有重大意义。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本实用新型解决上述问题的技术方案是：一种非晶带材的处理装置，其特殊之处在于：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包括放料装置和去应力装置；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所述去应力装置包括超声滚轴和超声加载工作台；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待处理的非晶带材放置在放料装置上，放料装置对待处理的非晶带材进行放料，待处理的非晶带材通过超声加载工作台，超声滚轴对待处理的非晶带材进行去应力处理。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中，将待处理的非晶带材放到放料装置上进行非晶带材的进料，超声滚轴会发生超声高频振动，再将超声作用于非晶带材上，当非晶带材受到超声高频振动时，其内部晶体会重新进行排列，从而达到去除应力的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进一步地，上述超声滚轴设置在超声加载工作台上方。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进一步地，上述超声滚轴的数量为多个。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进一步地，上述超声滚轴的数量为三个。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进一步地，还包括剪裁装置，裁剪装置设置在超声滚轴之后，所述剪裁装置包括驱动机构和执行机构；所述驱动装置驱动执行机构对非晶带材进行剪裁。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当需要做电机铁芯的时候，驱动机构和执行机构的配合可以实现后续的带材的切割。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进一步地，上述驱动机构为直线运动机构。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进一步地，直线运动机构包括气缸或液压缸，所述气缸或液压缸的活塞杆与执行机构连接。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进一步地，上述执行机构包括剪板刀。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进一步地，还包括收料装置，收料装置用于对非晶带材进行收卷。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当需要制作变压器铁芯时，收料装置将超声处理后的非晶带材直接进行卷绕制作非晶变压器。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进一步地，上述收料装置为收卷机。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1)本实用新型去除非晶电机铁芯应力的装置结构简单，易操作；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2)制作非晶电机铁芯的时候，采用本实用新型装置在积层非晶条带的绝缘层不会遭到破坏；在制作非晶变压器铁芯非晶带材开始卷绕的时候，应力都可以得到有效去除，使得非晶合金的性能得到更完美的发挥；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3)本实用新型装置采用超声去除非晶应力，快速有效，避免因运输过程等多方面因素对非晶铁芯造成影响，避免应力集中过大，加大后续对应力去除的难度，十分适合非晶电机的批量生产。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图1是本实用新型实施例1的结构示意图；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图2是本实用新型实施例2的结构示意图。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其中：1.钢卷送料机；2.非晶带材；3.超声滚筒；4.驱动机构；5.剪板刀； 6.收卷机；7.超声加载工作台。</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实施方式的目的、技术方案和优点更加清楚，下面将结合本实用新型实施方式中的附图，对本实用新型实施方式中的技术方案进行清楚、完整地描述，显然，所描述的实施方式是本实用新型一部分实施方式，而不是全部的实施方式。基于本实用新型中的实施方式，本领域普通技术人员在没有做出创造性劳动前提下所获得的所有其他实施方式，都属于本实用新型保护的范围。因此，以下对在附图中提供的本实用新型的实施方式的详细描述并非旨在限制要求保护的本实用新型的范围，而是仅仅表示本实用新型的选定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本实用新型提供一种非晶带材的处理装置，可快速有效的去除非晶带材的应力，从而在制作非晶合金相应产品的时候，性能可以充分发挥。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非晶带材的处理装置，具体地，包括放料装置和去应力装置。所述去应力装置包括超声滚轴和超声加载工作台；待处理的非晶带材放置在放料装置上，放料装置对待处理的非晶带材进行放料，待处理的非晶带材通过超声加载工作台，超声滚轴对待处理的非晶带材进行去应力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所述超声滚轴设置在超声加载工作台上方。所述超声滚轴的数量为多个，优选三个。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处理的非晶带材原料为卷绕包装，其设置在放料装置上，放料装置为钢卷送料机1，钢卷送料机1将非晶带材2送进超声滚轴和超声加载工作台，超声滚轴3会发生超声高频振动，再将超声作用于非晶带材2上，当非晶带材2受到超声高频振动时，其内部晶体会重新进行排列，从而达到去除应力的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见图1，一种非晶带材的处理装置，包括放料装置、去应力装置、剪裁装置。所述去应力装置包括超声滚轴和超声加载工作台；待处理的非晶带材放置在放料装置上，放料装置对待处理的非晶带材进行放料，待处理的非晶带材通过超声加载工作台，超声滚轴对待处理的非晶带材进行去应力处理。所述超声滚轴设置在超声加载工作台上方。所述超声滚轴的数量为三个。裁剪装置设置在超声滚轴之后，所述剪裁装置包括驱动机构和执行机构；所述驱动装置驱动执行机构对非晶带材进行剪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优选地，所述驱动机构4采用气缸或液压缸，所述气缸或液压缸的活塞杆与执行机构连接。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优选地，所述执行机构为剪板机的剪板刀5。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待处理的非晶带材原料为卷绕包装，其设置在放料装置上，放料装置为钢卷送料机1，钢卷送料机1将非晶带材2送进超声滚轴3和超声加载工作台7，超声滚轴3会发生超声高频振动，再将超声作用于非晶带材2上，当非晶带材2受到超声高频振动时，其内部晶体会重新进行排列，从而去除应力，然后进入非晶带材剪裁工序，气缸或液压缸的活塞杆带动剪板刀5对非晶带材进行剪裁，可以实现后续的带材的切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采用本实用新型装置在积层非晶条带的绝缘层不会遭到破坏；在制作非晶变压器铁芯非晶带材开始卷绕的时候，应力都可以得到有效去除，使得非晶合金的性能得到更完美的发挥。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见图2，一种非晶带材的处理装置，包括放料装置、去应力装置、收料装置。所述去应力装置包括超声滚轴和超声加载工作台；待处理的非晶带材放置在放料装置上，放料装置对待处理的非晶带材进行放料，待处理的非晶带材通过超声加载工作台，超声滚轴对待处理的非晶带材进行去应力处理。所述超声滚轴设置在超声加载工作台上方。所述超声滚轴的数量为三个。收料装置用于对非晶带材进行收卷。所述收料装置为收卷机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待处理的非晶带材原料为卷绕包装，其设置在放料装置上，放料装置为钢卷送料机1，钢卷送料机1将非晶带材2送进超声滚轴3和超声加载工作台7，超声滚轴3会发生超声高频振动，再将超声作用于非晶带材2上，当非晶带材2受到超声高频振动时，其内部晶体会重新进行排列，从而去除应力，然后将超声处理后的非晶带材直接用收卷机6进行卷绕，用于制作非晶变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去除非晶电机铁芯应力的装置结构简单，易操作；采用超声处理技术能够有效进行电能与机械能之间的转化，磁致伸缩转换能器和压电陶瓷是超声冲击处理技术能顺利工作的关键因素，机械能会转化为变幅聚能，然后对工件进行冲击，使材料形成一定的塑性变形，从而极大降低工件中的残余应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而已，并不用于限制本实用新型，本领域的技术人员其依然可以对前述各实施例所记载的技术方案进行调节，或者对其中部分技术特征进行等同替换。所以，倘若本实用新型的这些修改和变型属于本实用新型权利要求及其等同技术的范围之内，则本实用新型也意图包含这些改动和变型在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59.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56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