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44"/>
          <w:szCs w:val="44"/>
        </w:rPr>
      </w:pPr>
      <w:r>
        <w:rPr>
          <w:rFonts w:hint="eastAsia" w:ascii="仿宋_GB2312" w:eastAsia="仿宋_GB2312"/>
          <w:sz w:val="44"/>
          <w:szCs w:val="44"/>
        </w:rPr>
        <w:t>科技成果产业化落地方案</w:t>
      </w: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560" w:firstLineChars="200"/>
              <w:rPr>
                <w:rFonts w:ascii="仿宋_GB2312" w:eastAsia="仿宋_GB2312"/>
                <w:b/>
                <w:bCs/>
                <w:color w:val="AFABAB" w:themeColor="background2" w:themeShade="BF"/>
                <w:kern w:val="0"/>
                <w:sz w:val="28"/>
                <w:szCs w:val="28"/>
              </w:rPr>
            </w:pPr>
            <w:r>
              <w:rPr>
                <w:rFonts w:hint="eastAsia" w:ascii="仿宋_GB2312" w:eastAsia="仿宋_GB2312"/>
                <w:kern w:val="0"/>
                <w:sz w:val="28"/>
                <w:szCs w:val="28"/>
                <w:lang w:val="en-US" w:eastAsia="zh-CN"/>
              </w:rPr>
              <w:t>本实用新型公开了一种果树栽植用固定架，包括底板和横向设置的第一半圆形卡环，所述底板两侧均开有圆形通槽，且两个圆形通槽沿底板长度方向分布，所述底板顶部两侧边缘位置处均插设有圆杆，且两个圆杆沿底板长度方向分布，两个所述圆杆顶部中心位置处均焊接有摇把，两个所述圆杆底部中心处均焊接有蛟龙杆，两个所述圆杆外壁相向两端均焊接有限位杆，两个所述蛟龙杆分别位于两个圆形通槽内，两个所述圆形通槽相向的两侧均开有与限位杆相适配的第二通槽，且两个第二通槽沿底板宽度方向分布。本实用新型通过底板上设置的两个蛟龙杆及蛟龙杆上设置的摇把相配合，使用中使底板更加牢固不易摆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560" w:firstLineChars="200"/>
              <w:jc w:val="left"/>
              <w:rPr>
                <w:rFonts w:hint="default" w:ascii="仿宋_GB2312" w:eastAsia="仿宋_GB2312"/>
                <w:b/>
                <w:bCs/>
                <w:color w:val="AFABAB" w:themeColor="background2" w:themeShade="BF"/>
                <w:kern w:val="0"/>
                <w:sz w:val="28"/>
                <w:szCs w:val="28"/>
                <w:lang w:val="en-US"/>
              </w:rPr>
            </w:pPr>
            <w:r>
              <w:rPr>
                <w:rFonts w:hint="eastAsia" w:ascii="仿宋_GB2312" w:eastAsia="仿宋_GB2312"/>
                <w:kern w:val="0"/>
                <w:sz w:val="28"/>
                <w:szCs w:val="28"/>
                <w:lang w:val="en-US" w:eastAsia="zh-CN"/>
              </w:rPr>
              <w:t>本实用新型的目的是为了解决现有技术中存在的缺点，而提出的一种果树栽植用固定架。一种果树栽植用固定架,包括底板和横向设置的第一半圆形卡环,所述底板两侧均开有圆形通槽，且两个圆形通槽沿底板长度方向分布,所述底板顶部两侧边缘位置处均插设有圆杆，且两个圆杆沿底板长度方向分布，两个所述圆杆顶部中心位置处均焊接有摇把，两个所述圆杆底部中心处均焊接有蛟龙杆，两个所述圆杆外壁相向两端均焊接有限位杆，两个所述蛟龙杆分别位于两个圆形通槽内，两个所述圆形通槽相向的两侧均开有与限位杆相适配的第二通槽，且两个第二通槽沿底板宽度方向分布，所述底板顶部中心处设有用于调节第一半圆形卡环高度的高度调节组件，所述高度调节组件包括第二半圆形卡环所述第一半圆形卡环一端与第二半圆形卡环一端较接,所述第二半圆形卡环一端与第一半圆形卡环另一端通过螺栓连接,所述第二半圆形卡环外壁圆周面两端均通过螺栓连接有横杆,两个所述横杆远离第二半圆形卡环一端设有用于支撑第一半圆形卡环和第二半圆形卡环的支撑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560" w:firstLineChars="200"/>
              <w:rPr>
                <w:rFonts w:ascii="仿宋_GB2312" w:eastAsia="仿宋_GB2312"/>
                <w:b/>
                <w:bCs/>
                <w:color w:val="AFABAB" w:themeColor="background2" w:themeShade="BF"/>
                <w:kern w:val="0"/>
                <w:sz w:val="28"/>
                <w:szCs w:val="28"/>
              </w:rPr>
            </w:pPr>
            <w:r>
              <w:rPr>
                <w:rFonts w:hint="eastAsia" w:ascii="仿宋_GB2312" w:eastAsia="仿宋_GB2312"/>
                <w:kern w:val="0"/>
                <w:sz w:val="28"/>
                <w:szCs w:val="28"/>
                <w:lang w:val="en-US" w:eastAsia="zh-CN"/>
              </w:rPr>
              <w:t>果树在种植或者移植过程后,为防止其在外力作用下发生倾斜歪倒,确保其成活率,在种植后往往需要对其进行固定,传统的固定方法是使用搭建木棍支架的方法,然后再使用铁丝或绳子将其固定，该方法费时费力，且不便于后期拆卸。该果树固定架,固定效果好,能更好的根据果树的大小调节固定架的内径,对生长速度较快但根基不稳的移栽树木,不会造成固定架与树干连接处产生凹痕，保持树木生长和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560" w:firstLineChars="200"/>
              <w:rPr>
                <w:rFonts w:ascii="仿宋_GB2312" w:hAnsi="仿宋_GB2312" w:eastAsia="仿宋_GB2312" w:cs="Times New Roman (正文 CS 字体)"/>
                <w:color w:val="7F7F7F"/>
                <w:kern w:val="2"/>
                <w:sz w:val="28"/>
                <w:szCs w:val="28"/>
              </w:rPr>
            </w:pPr>
            <w:r>
              <w:rPr>
                <w:rFonts w:hint="eastAsia" w:ascii="仿宋_GB2312" w:eastAsia="仿宋_GB2312"/>
                <w:kern w:val="0"/>
                <w:sz w:val="28"/>
                <w:szCs w:val="28"/>
                <w:lang w:val="en-US" w:eastAsia="zh-CN"/>
              </w:rPr>
              <w:t>高文胜，山东省农业厅研究员，园艺学博士、植物营养学博士后。主要从事果树技术。 研究李国栋，山东省科学技术情报研究院研究员。 卢景生，山东葵丘实业有限公司董事长。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560" w:firstLineChars="200"/>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该项目投资5万余元，吸纳周边10余人就业，果树栽植用固定架，包括底板和横向设置的第一半圆形卡环，所述底板两侧均开有圆形通槽，且两个圆形通槽沿底板长度方向分布，所述底板顶部两侧边缘位置处均插设有圆杆，且两个圆杆沿底板长度方向分布，两个所述圆杆顶部中心位置处均焊接有摇把，两个所述圆杆底部中心处均焊接有蛟龙杆，两个所述圆杆外壁相向两端均焊接有限位杆，两个所述蛟龙杆分别位于两个圆形通槽内，两个所述圆形通槽相向的两侧均开有与限位杆相适配的第二通槽，且两个第二通槽沿底板宽度方向分布。本实用新型通过底板上设置的两个蛟龙杆及蛟龙杆上设置的摇把相配合，使用中使底板更加牢固不易摆动</w:t>
            </w:r>
            <w:r>
              <w:rPr>
                <w:rFonts w:hint="eastAsia" w:ascii="仿宋_GB2312" w:eastAsia="仿宋_GB2312"/>
                <w:kern w:val="0"/>
                <w:sz w:val="28"/>
                <w:szCs w:val="28"/>
                <w:lang w:val="en-US" w:eastAsia="zh-CN"/>
              </w:rPr>
              <w:t>，操作便捷，实用性较强，能够更好的节省成本</w:t>
            </w:r>
            <w:r>
              <w:rPr>
                <w:rFonts w:hint="eastAsia" w:ascii="仿宋_GB2312" w:eastAsia="仿宋_GB2312"/>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highlight w:val="none"/>
              </w:rPr>
              <w:t>转化方式</w:t>
            </w:r>
            <w:r>
              <w:rPr>
                <w:rFonts w:hint="eastAsia" w:ascii="仿宋_GB2312" w:eastAsia="仿宋_GB2312"/>
                <w:kern w:val="0"/>
                <w:sz w:val="28"/>
                <w:szCs w:val="28"/>
              </w:rPr>
              <w:t>（1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rPr>
                <w:rFonts w:hint="default" w:ascii="仿宋_GB2312" w:eastAsia="仿宋_GB2312"/>
                <w:kern w:val="0"/>
                <w:sz w:val="28"/>
                <w:szCs w:val="28"/>
                <w:lang w:val="en-US" w:eastAsia="zh-CN"/>
              </w:rPr>
            </w:pPr>
            <w:r>
              <w:rPr>
                <w:rFonts w:hint="eastAsia" w:ascii="仿宋_GB2312" w:eastAsia="仿宋_GB2312"/>
                <w:kern w:val="0"/>
                <w:sz w:val="28"/>
                <w:szCs w:val="28"/>
                <w:lang w:val="en-US" w:eastAsia="zh-CN"/>
              </w:rPr>
              <w:t>该项目成果在本企业已落地转化，主要为本企业利用研究成果将其转化为系列研究产品。我公司愿意提供技术服务和技术咨询，获得相应资金来支撑持续不断地技术开发。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iZGI4YWZhODdiNDFlNjRmOWExYTFjZjdhZmYyODc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0DE56980"/>
    <w:rsid w:val="19F368A7"/>
    <w:rsid w:val="1A987F6A"/>
    <w:rsid w:val="3074075D"/>
    <w:rsid w:val="45EC7DA8"/>
    <w:rsid w:val="48AA29EA"/>
    <w:rsid w:val="4CC50B32"/>
    <w:rsid w:val="51E43C02"/>
    <w:rsid w:val="729D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10"/>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4 字符"/>
    <w:basedOn w:val="9"/>
    <w:link w:val="3"/>
    <w:qFormat/>
    <w:uiPriority w:val="9"/>
    <w:rPr>
      <w:rFonts w:ascii="仿宋_GB2312" w:eastAsia="仿宋_GB2312" w:hAnsiTheme="majorHAnsi" w:cstheme="majorBidi"/>
      <w:sz w:val="32"/>
      <w:szCs w:val="28"/>
    </w:rPr>
  </w:style>
  <w:style w:type="character" w:customStyle="1" w:styleId="11">
    <w:name w:val="标题 3 字符"/>
    <w:basedOn w:val="9"/>
    <w:link w:val="2"/>
    <w:semiHidden/>
    <w:qFormat/>
    <w:uiPriority w:val="9"/>
    <w:rPr>
      <w:rFonts w:eastAsia="仿宋_GB2312"/>
      <w:bCs/>
      <w:sz w:val="32"/>
      <w:szCs w:val="32"/>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table" w:customStyle="1" w:styleId="14">
    <w:name w:val="网格型1"/>
    <w:basedOn w:val="7"/>
    <w:qFormat/>
    <w:uiPriority w:val="39"/>
    <w:rPr>
      <w:rFonts w:eastAsia="仿宋" w:cs="Times New Roman (正文 CS 字体)"/>
      <w:sz w:val="3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1841</Words>
  <Characters>1891</Characters>
  <Lines>4</Lines>
  <Paragraphs>1</Paragraphs>
  <TotalTime>11</TotalTime>
  <ScaleCrop>false</ScaleCrop>
  <LinksUpToDate>false</LinksUpToDate>
  <CharactersWithSpaces>1893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DELL</cp:lastModifiedBy>
  <dcterms:modified xsi:type="dcterms:W3CDTF">2023-08-16T02:26:41Z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A6A235FF3B364494AADA2D5E65902E34_13</vt:lpwstr>
  </property>
</Properties>
</file>