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B7FCE" w14:textId="774E541F" w:rsidR="00CB2207" w:rsidRDefault="00DC445B">
      <w:pPr>
        <w:spacing w:line="360" w:lineRule="auto"/>
        <w:jc w:val="center"/>
        <w:rPr>
          <w:rFonts w:ascii="宋体" w:hAnsi="宋体" w:cs="宋体"/>
          <w:b/>
          <w:color w:val="000000"/>
          <w:sz w:val="36"/>
          <w:szCs w:val="36"/>
        </w:rPr>
      </w:pPr>
      <w:bookmarkStart w:id="0" w:name="_GoBack"/>
      <w:bookmarkEnd w:id="0"/>
      <w:r>
        <w:rPr>
          <w:rFonts w:asciiTheme="minorEastAsia" w:hAnsiTheme="minorEastAsia" w:hint="eastAsia"/>
          <w:b/>
          <w:color w:val="000000"/>
          <w:sz w:val="36"/>
          <w:szCs w:val="36"/>
        </w:rPr>
        <w:t>“</w:t>
      </w:r>
      <w:r w:rsidR="009539A5">
        <w:rPr>
          <w:rFonts w:asciiTheme="minorEastAsia" w:hAnsiTheme="minorEastAsia" w:hint="eastAsia"/>
          <w:b/>
          <w:color w:val="000000"/>
          <w:sz w:val="36"/>
          <w:szCs w:val="36"/>
        </w:rPr>
        <w:t>科创中国</w:t>
      </w:r>
      <w:r>
        <w:rPr>
          <w:rFonts w:asciiTheme="minorEastAsia" w:hAnsiTheme="minorEastAsia" w:hint="eastAsia"/>
          <w:b/>
          <w:color w:val="000000"/>
          <w:sz w:val="36"/>
          <w:szCs w:val="36"/>
        </w:rPr>
        <w:t>”技术清单库</w:t>
      </w:r>
      <w:r w:rsidR="00203A0E">
        <w:rPr>
          <w:rFonts w:asciiTheme="minorEastAsia" w:hAnsiTheme="minorEastAsia" w:hint="eastAsia"/>
          <w:b/>
          <w:color w:val="000000"/>
          <w:sz w:val="36"/>
          <w:szCs w:val="36"/>
        </w:rPr>
        <w:t>筛选</w:t>
      </w:r>
      <w:r w:rsidR="00E2655E">
        <w:rPr>
          <w:rFonts w:asciiTheme="minorEastAsia" w:hAnsiTheme="minorEastAsia" w:hint="eastAsia"/>
          <w:b/>
          <w:color w:val="000000"/>
          <w:sz w:val="36"/>
          <w:szCs w:val="36"/>
        </w:rPr>
        <w:t>表</w:t>
      </w:r>
    </w:p>
    <w:tbl>
      <w:tblPr>
        <w:tblpPr w:leftFromText="181" w:rightFromText="181" w:vertAnchor="text" w:horzAnchor="margin" w:tblpXSpec="center" w:tblpY="205"/>
        <w:tblOverlap w:val="neve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16"/>
        <w:gridCol w:w="1229"/>
        <w:gridCol w:w="2869"/>
      </w:tblGrid>
      <w:tr w:rsidR="00CB2207" w14:paraId="5EB1EBC1" w14:textId="77777777">
        <w:trPr>
          <w:trHeight w:val="567"/>
        </w:trPr>
        <w:tc>
          <w:tcPr>
            <w:tcW w:w="1001" w:type="pct"/>
            <w:vAlign w:val="center"/>
          </w:tcPr>
          <w:p w14:paraId="2A72DDB3" w14:textId="77777777" w:rsidR="00CB2207" w:rsidRDefault="00DC445B">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项目</w:t>
            </w:r>
            <w:r w:rsidR="00E2655E">
              <w:rPr>
                <w:rFonts w:ascii="宋体" w:hAnsi="宋体" w:cs="宋体" w:hint="eastAsia"/>
                <w:b/>
                <w:bCs/>
                <w:color w:val="444444"/>
                <w:kern w:val="0"/>
                <w:szCs w:val="21"/>
              </w:rPr>
              <w:t>名称</w:t>
            </w:r>
          </w:p>
        </w:tc>
        <w:tc>
          <w:tcPr>
            <w:tcW w:w="3998" w:type="pct"/>
            <w:gridSpan w:val="3"/>
            <w:vAlign w:val="center"/>
          </w:tcPr>
          <w:p w14:paraId="13AFEA08" w14:textId="51D97A75" w:rsidR="00CB2207" w:rsidRDefault="00C00389">
            <w:pPr>
              <w:widowControl/>
              <w:spacing w:line="360" w:lineRule="auto"/>
              <w:rPr>
                <w:rFonts w:ascii="宋体" w:hAnsi="宋体"/>
              </w:rPr>
            </w:pPr>
            <w:proofErr w:type="gramStart"/>
            <w:r>
              <w:rPr>
                <w:rFonts w:ascii="宋体" w:hAnsi="宋体" w:hint="eastAsia"/>
              </w:rPr>
              <w:t>融盐水合物</w:t>
            </w:r>
            <w:proofErr w:type="gramEnd"/>
            <w:r>
              <w:rPr>
                <w:rFonts w:ascii="宋体" w:hAnsi="宋体" w:hint="eastAsia"/>
              </w:rPr>
              <w:t>分离木质纤维素生物质</w:t>
            </w:r>
          </w:p>
        </w:tc>
      </w:tr>
      <w:tr w:rsidR="00CB2207" w14:paraId="3D4DD286" w14:textId="77777777">
        <w:trPr>
          <w:trHeight w:val="567"/>
        </w:trPr>
        <w:tc>
          <w:tcPr>
            <w:tcW w:w="1001" w:type="pct"/>
            <w:vAlign w:val="center"/>
          </w:tcPr>
          <w:p w14:paraId="6AAE2374"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完成人</w:t>
            </w:r>
          </w:p>
        </w:tc>
        <w:tc>
          <w:tcPr>
            <w:tcW w:w="1727" w:type="pct"/>
            <w:noWrap/>
            <w:vAlign w:val="center"/>
          </w:tcPr>
          <w:p w14:paraId="3592F8E6" w14:textId="3FF61316" w:rsidR="00CB2207" w:rsidRDefault="00C00389">
            <w:pPr>
              <w:adjustRightInd w:val="0"/>
              <w:snapToGrid w:val="0"/>
              <w:spacing w:line="360" w:lineRule="auto"/>
              <w:rPr>
                <w:rFonts w:ascii="宋体" w:hAnsi="宋体" w:cs="宋体"/>
                <w:sz w:val="24"/>
              </w:rPr>
            </w:pPr>
            <w:r>
              <w:rPr>
                <w:rFonts w:ascii="宋体" w:hAnsi="宋体" w:cs="宋体" w:hint="eastAsia"/>
                <w:sz w:val="24"/>
              </w:rPr>
              <w:t>欧阳新平等</w:t>
            </w:r>
          </w:p>
        </w:tc>
        <w:tc>
          <w:tcPr>
            <w:tcW w:w="681" w:type="pct"/>
            <w:noWrap/>
            <w:vAlign w:val="center"/>
          </w:tcPr>
          <w:p w14:paraId="62636EA3" w14:textId="77777777" w:rsidR="00CB2207" w:rsidRDefault="00E2655E">
            <w:pPr>
              <w:adjustRightInd w:val="0"/>
              <w:snapToGrid w:val="0"/>
              <w:spacing w:line="360" w:lineRule="auto"/>
              <w:jc w:val="left"/>
              <w:rPr>
                <w:rFonts w:ascii="宋体" w:hAnsi="宋体" w:cs="宋体"/>
                <w:b/>
                <w:bCs/>
                <w:color w:val="444444"/>
                <w:kern w:val="0"/>
                <w:szCs w:val="21"/>
              </w:rPr>
            </w:pPr>
            <w:r>
              <w:rPr>
                <w:rFonts w:ascii="宋体" w:hAnsi="宋体" w:cs="宋体" w:hint="eastAsia"/>
                <w:b/>
                <w:bCs/>
                <w:color w:val="444444"/>
                <w:kern w:val="0"/>
                <w:szCs w:val="21"/>
              </w:rPr>
              <w:t>联系人</w:t>
            </w:r>
          </w:p>
        </w:tc>
        <w:tc>
          <w:tcPr>
            <w:tcW w:w="1588" w:type="pct"/>
            <w:noWrap/>
            <w:vAlign w:val="center"/>
          </w:tcPr>
          <w:p w14:paraId="1B985050" w14:textId="186BD6D2" w:rsidR="00CB2207" w:rsidRDefault="00C00389">
            <w:pPr>
              <w:adjustRightInd w:val="0"/>
              <w:snapToGrid w:val="0"/>
              <w:spacing w:line="360" w:lineRule="auto"/>
              <w:rPr>
                <w:rFonts w:ascii="宋体" w:hAnsi="宋体" w:cs="宋体"/>
                <w:sz w:val="24"/>
              </w:rPr>
            </w:pPr>
            <w:r>
              <w:rPr>
                <w:rFonts w:ascii="宋体" w:hAnsi="宋体" w:cs="宋体" w:hint="eastAsia"/>
                <w:sz w:val="24"/>
              </w:rPr>
              <w:t>欧阳新平</w:t>
            </w:r>
          </w:p>
        </w:tc>
      </w:tr>
      <w:tr w:rsidR="00CB2207" w14:paraId="6DADB032" w14:textId="77777777">
        <w:trPr>
          <w:trHeight w:val="567"/>
        </w:trPr>
        <w:tc>
          <w:tcPr>
            <w:tcW w:w="1001" w:type="pct"/>
            <w:vAlign w:val="center"/>
          </w:tcPr>
          <w:p w14:paraId="6D9220C4"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联系人手机</w:t>
            </w:r>
          </w:p>
        </w:tc>
        <w:tc>
          <w:tcPr>
            <w:tcW w:w="1727" w:type="pct"/>
            <w:noWrap/>
            <w:vAlign w:val="center"/>
          </w:tcPr>
          <w:p w14:paraId="19FFE0FD" w14:textId="688C93B8" w:rsidR="00CB2207" w:rsidRDefault="00C00389">
            <w:pPr>
              <w:adjustRightInd w:val="0"/>
              <w:snapToGrid w:val="0"/>
              <w:spacing w:line="360" w:lineRule="auto"/>
              <w:rPr>
                <w:rFonts w:ascii="宋体" w:hAnsi="宋体" w:cs="宋体"/>
                <w:sz w:val="24"/>
              </w:rPr>
            </w:pPr>
            <w:r>
              <w:rPr>
                <w:rFonts w:ascii="宋体" w:hAnsi="宋体" w:cs="宋体" w:hint="eastAsia"/>
                <w:sz w:val="24"/>
              </w:rPr>
              <w:t>1</w:t>
            </w:r>
            <w:r>
              <w:rPr>
                <w:rFonts w:ascii="宋体" w:hAnsi="宋体" w:cs="宋体"/>
                <w:sz w:val="24"/>
              </w:rPr>
              <w:t>3560102696</w:t>
            </w:r>
          </w:p>
        </w:tc>
        <w:tc>
          <w:tcPr>
            <w:tcW w:w="681" w:type="pct"/>
            <w:noWrap/>
            <w:vAlign w:val="center"/>
          </w:tcPr>
          <w:p w14:paraId="0866FF0A" w14:textId="77777777" w:rsidR="00CB2207" w:rsidRDefault="00E2655E">
            <w:pPr>
              <w:adjustRightInd w:val="0"/>
              <w:snapToGrid w:val="0"/>
              <w:spacing w:line="360" w:lineRule="auto"/>
              <w:rPr>
                <w:rFonts w:ascii="宋体" w:hAnsi="宋体" w:cs="宋体"/>
                <w:sz w:val="24"/>
              </w:rPr>
            </w:pPr>
            <w:r>
              <w:rPr>
                <w:rFonts w:ascii="宋体" w:hAnsi="宋体" w:cs="宋体" w:hint="eastAsia"/>
                <w:b/>
                <w:bCs/>
                <w:color w:val="444444"/>
                <w:kern w:val="0"/>
                <w:szCs w:val="21"/>
              </w:rPr>
              <w:t>邮箱</w:t>
            </w:r>
          </w:p>
        </w:tc>
        <w:tc>
          <w:tcPr>
            <w:tcW w:w="1588" w:type="pct"/>
            <w:noWrap/>
            <w:vAlign w:val="center"/>
          </w:tcPr>
          <w:p w14:paraId="7252CDCA" w14:textId="55645EA5" w:rsidR="00CB2207" w:rsidRDefault="00C00389">
            <w:pPr>
              <w:adjustRightInd w:val="0"/>
              <w:snapToGrid w:val="0"/>
              <w:spacing w:line="360" w:lineRule="auto"/>
              <w:rPr>
                <w:rFonts w:ascii="宋体" w:hAnsi="宋体" w:cs="宋体"/>
                <w:sz w:val="24"/>
              </w:rPr>
            </w:pPr>
            <w:r>
              <w:rPr>
                <w:rFonts w:ascii="宋体" w:hAnsi="宋体" w:cs="宋体" w:hint="eastAsia"/>
                <w:sz w:val="24"/>
              </w:rPr>
              <w:t>ceouyang</w:t>
            </w:r>
            <w:r>
              <w:rPr>
                <w:rFonts w:ascii="宋体" w:hAnsi="宋体" w:cs="宋体"/>
                <w:sz w:val="24"/>
              </w:rPr>
              <w:t>@scut.edu.cn</w:t>
            </w:r>
          </w:p>
        </w:tc>
      </w:tr>
      <w:tr w:rsidR="00CB2207" w14:paraId="4A26475C" w14:textId="77777777">
        <w:trPr>
          <w:trHeight w:val="567"/>
        </w:trPr>
        <w:tc>
          <w:tcPr>
            <w:tcW w:w="1001" w:type="pct"/>
            <w:vAlign w:val="center"/>
          </w:tcPr>
          <w:p w14:paraId="3B4D6B12"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完成人单位</w:t>
            </w:r>
          </w:p>
        </w:tc>
        <w:tc>
          <w:tcPr>
            <w:tcW w:w="3998" w:type="pct"/>
            <w:gridSpan w:val="3"/>
            <w:noWrap/>
            <w:vAlign w:val="center"/>
          </w:tcPr>
          <w:p w14:paraId="24116396" w14:textId="516D8867" w:rsidR="00CB2207" w:rsidRDefault="00C00389">
            <w:pPr>
              <w:adjustRightInd w:val="0"/>
              <w:snapToGrid w:val="0"/>
              <w:spacing w:line="360" w:lineRule="auto"/>
              <w:rPr>
                <w:rFonts w:ascii="宋体" w:hAnsi="宋体" w:cs="宋体"/>
                <w:sz w:val="24"/>
              </w:rPr>
            </w:pPr>
            <w:r>
              <w:rPr>
                <w:rFonts w:ascii="宋体" w:hAnsi="宋体" w:cs="宋体" w:hint="eastAsia"/>
                <w:sz w:val="24"/>
              </w:rPr>
              <w:t>华南理工大学</w:t>
            </w:r>
          </w:p>
        </w:tc>
      </w:tr>
      <w:tr w:rsidR="00CB2207" w14:paraId="5C713FFB" w14:textId="77777777">
        <w:trPr>
          <w:trHeight w:val="1508"/>
        </w:trPr>
        <w:tc>
          <w:tcPr>
            <w:tcW w:w="1001" w:type="pct"/>
            <w:vAlign w:val="center"/>
          </w:tcPr>
          <w:p w14:paraId="398C7468" w14:textId="77777777" w:rsidR="00CB2207" w:rsidRDefault="00DC445B">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技术</w:t>
            </w:r>
            <w:r w:rsidR="00E2655E">
              <w:rPr>
                <w:rFonts w:ascii="宋体" w:hAnsi="宋体" w:cs="宋体" w:hint="eastAsia"/>
                <w:b/>
                <w:bCs/>
                <w:color w:val="444444"/>
                <w:kern w:val="0"/>
                <w:szCs w:val="21"/>
              </w:rPr>
              <w:t>领域</w:t>
            </w:r>
          </w:p>
        </w:tc>
        <w:tc>
          <w:tcPr>
            <w:tcW w:w="3998" w:type="pct"/>
            <w:gridSpan w:val="3"/>
            <w:noWrap/>
            <w:vAlign w:val="center"/>
          </w:tcPr>
          <w:p w14:paraId="50397858" w14:textId="58AC040B" w:rsidR="00AB17F1" w:rsidRPr="0025334D" w:rsidRDefault="00AB17F1" w:rsidP="00AB17F1">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t>□</w:t>
            </w:r>
            <w:r w:rsidR="00C00389">
              <w:rPr>
                <w:rFonts w:asciiTheme="minorEastAsia" w:eastAsiaTheme="minorEastAsia" w:hAnsiTheme="minorEastAsia" w:cs="Times New Roman" w:hint="eastAsia"/>
                <w:color w:val="000000" w:themeColor="text1"/>
                <w:szCs w:val="21"/>
              </w:rPr>
              <w:t>X</w:t>
            </w:r>
            <w:r w:rsidRPr="0025334D">
              <w:rPr>
                <w:rFonts w:ascii="宋体" w:hAnsi="宋体" w:cs="Times New Roman" w:hint="eastAsia"/>
                <w:color w:val="000000" w:themeColor="text1"/>
                <w:szCs w:val="21"/>
              </w:rPr>
              <w:t xml:space="preserve">先进基础材料       </w:t>
            </w:r>
            <w:r>
              <w:rPr>
                <w:rFonts w:ascii="YuMincho +36p Kana Extrabold" w:eastAsia="YuMincho +36p Kana Extrabold" w:hAnsi="YuMincho +36p Kana Extrabold" w:cs="Times New Roman" w:hint="eastAsia"/>
                <w:color w:val="000000" w:themeColor="text1"/>
                <w:szCs w:val="21"/>
              </w:rPr>
              <w:t>□</w:t>
            </w:r>
            <w:r w:rsidR="00C00389">
              <w:rPr>
                <w:rFonts w:asciiTheme="minorEastAsia" w:eastAsiaTheme="minorEastAsia" w:hAnsiTheme="minorEastAsia" w:cs="Times New Roman" w:hint="eastAsia"/>
                <w:color w:val="000000" w:themeColor="text1"/>
                <w:szCs w:val="21"/>
              </w:rPr>
              <w:t>X</w:t>
            </w:r>
            <w:r w:rsidRPr="0025334D">
              <w:rPr>
                <w:rFonts w:ascii="宋体" w:hAnsi="宋体" w:cs="Times New Roman" w:hint="eastAsia"/>
                <w:color w:val="000000" w:themeColor="text1"/>
                <w:szCs w:val="21"/>
              </w:rPr>
              <w:t>能</w:t>
            </w:r>
            <w:proofErr w:type="gramStart"/>
            <w:r w:rsidRPr="0025334D">
              <w:rPr>
                <w:rFonts w:ascii="宋体" w:hAnsi="宋体" w:cs="Times New Roman" w:hint="eastAsia"/>
                <w:color w:val="000000" w:themeColor="text1"/>
                <w:szCs w:val="21"/>
              </w:rPr>
              <w:t>源材料</w:t>
            </w:r>
            <w:proofErr w:type="gramEnd"/>
            <w:r w:rsidRPr="0025334D">
              <w:rPr>
                <w:rFonts w:ascii="宋体" w:hAnsi="宋体" w:cs="Times New Roman" w:hint="eastAsia"/>
                <w:color w:val="000000" w:themeColor="text1"/>
                <w:szCs w:val="21"/>
              </w:rPr>
              <w:t xml:space="preserve"> </w:t>
            </w:r>
            <w:r w:rsidRPr="0025334D">
              <w:rPr>
                <w:rFonts w:ascii="宋体" w:hAnsi="宋体" w:cs="Times New Roman"/>
                <w:color w:val="000000" w:themeColor="text1"/>
                <w:szCs w:val="21"/>
              </w:rPr>
              <w:t xml:space="preserve">     </w:t>
            </w:r>
            <w:r w:rsidRPr="0025334D">
              <w:rPr>
                <w:rFonts w:ascii="宋体" w:hAnsi="宋体" w:cs="Times New Roman" w:hint="eastAsia"/>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信息材料 </w:t>
            </w:r>
            <w:r w:rsidRPr="0025334D">
              <w:rPr>
                <w:rFonts w:ascii="宋体" w:hAnsi="宋体" w:cs="Times New Roman"/>
                <w:color w:val="000000" w:themeColor="text1"/>
                <w:szCs w:val="21"/>
              </w:rPr>
              <w:t xml:space="preserve">   </w:t>
            </w:r>
          </w:p>
          <w:p w14:paraId="47CAB5E3" w14:textId="77777777" w:rsidR="00AB17F1" w:rsidRPr="0025334D" w:rsidRDefault="00AB17F1" w:rsidP="00AB17F1">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环境工程材料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生物医用材料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衣食住行材料</w:t>
            </w:r>
            <w:r w:rsidRPr="0025334D">
              <w:rPr>
                <w:rFonts w:ascii="宋体" w:hAnsi="宋体" w:cs="Times New Roman"/>
                <w:color w:val="000000" w:themeColor="text1"/>
                <w:szCs w:val="21"/>
              </w:rPr>
              <w:t xml:space="preserve"> </w:t>
            </w:r>
            <w:r w:rsidRPr="0025334D">
              <w:rPr>
                <w:rFonts w:ascii="宋体" w:hAnsi="宋体" w:cs="Times New Roman" w:hint="eastAsia"/>
                <w:color w:val="000000" w:themeColor="text1"/>
                <w:szCs w:val="21"/>
              </w:rPr>
              <w:t xml:space="preserve"> </w:t>
            </w:r>
          </w:p>
          <w:p w14:paraId="46B0B136" w14:textId="77777777" w:rsidR="00AB17F1" w:rsidRPr="0025334D" w:rsidRDefault="00AB17F1" w:rsidP="00AB17F1">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安全工程材料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材料检测与分析技术 </w:t>
            </w:r>
          </w:p>
          <w:p w14:paraId="50014999" w14:textId="038B461A" w:rsidR="00D226ED" w:rsidRPr="00D226ED" w:rsidRDefault="00AB17F1" w:rsidP="00AB17F1">
            <w:pPr>
              <w:pStyle w:val="21"/>
              <w:ind w:leftChars="0" w:left="0" w:firstLineChars="0" w:firstLine="0"/>
            </w:pP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材料设计制造工艺、装备</w:t>
            </w:r>
            <w:r>
              <w:rPr>
                <w:rFonts w:ascii="宋体" w:hAnsi="宋体" w:cs="Times New Roman" w:hint="eastAsia"/>
                <w:color w:val="000000" w:themeColor="text1"/>
                <w:szCs w:val="21"/>
              </w:rPr>
              <w:t>、</w:t>
            </w:r>
            <w:r w:rsidRPr="0025334D">
              <w:rPr>
                <w:rFonts w:ascii="宋体" w:hAnsi="宋体" w:cs="Times New Roman" w:hint="eastAsia"/>
                <w:color w:val="000000" w:themeColor="text1"/>
                <w:szCs w:val="21"/>
              </w:rPr>
              <w:t>软件</w:t>
            </w:r>
            <w:r>
              <w:rPr>
                <w:rFonts w:ascii="宋体" w:hAnsi="宋体" w:cs="Times New Roman" w:hint="eastAsia"/>
                <w:color w:val="000000" w:themeColor="text1"/>
                <w:szCs w:val="21"/>
              </w:rPr>
              <w:t>及智能化</w:t>
            </w:r>
          </w:p>
        </w:tc>
      </w:tr>
      <w:tr w:rsidR="00CB2207" w14:paraId="11A01821" w14:textId="77777777">
        <w:trPr>
          <w:trHeight w:val="567"/>
        </w:trPr>
        <w:tc>
          <w:tcPr>
            <w:tcW w:w="1001" w:type="pct"/>
            <w:vAlign w:val="center"/>
          </w:tcPr>
          <w:p w14:paraId="7FB0725F"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关键词</w:t>
            </w:r>
            <w:r>
              <w:rPr>
                <w:rFonts w:ascii="宋体" w:hAnsi="宋体" w:cs="宋体" w:hint="eastAsia"/>
                <w:color w:val="FF0000"/>
                <w:kern w:val="0"/>
                <w:szCs w:val="21"/>
              </w:rPr>
              <w:t>（</w:t>
            </w:r>
            <w:r>
              <w:rPr>
                <w:rFonts w:ascii="宋体" w:hAnsi="宋体" w:cs="宋体" w:hint="eastAsia"/>
                <w:bCs/>
                <w:color w:val="FF0000"/>
                <w:kern w:val="0"/>
                <w:szCs w:val="21"/>
              </w:rPr>
              <w:t>3</w:t>
            </w:r>
            <w:r>
              <w:rPr>
                <w:rFonts w:ascii="宋体" w:hAnsi="宋体" w:cs="宋体"/>
                <w:bCs/>
                <w:color w:val="FF0000"/>
                <w:kern w:val="0"/>
                <w:szCs w:val="21"/>
              </w:rPr>
              <w:t>～</w:t>
            </w:r>
            <w:r>
              <w:rPr>
                <w:rFonts w:ascii="宋体" w:hAnsi="宋体" w:cs="宋体" w:hint="eastAsia"/>
                <w:bCs/>
                <w:color w:val="FF0000"/>
                <w:kern w:val="0"/>
                <w:szCs w:val="21"/>
              </w:rPr>
              <w:t>5</w:t>
            </w:r>
            <w:r>
              <w:rPr>
                <w:rFonts w:ascii="宋体" w:hAnsi="宋体" w:cs="宋体"/>
                <w:bCs/>
                <w:color w:val="FF0000"/>
                <w:kern w:val="0"/>
                <w:szCs w:val="21"/>
              </w:rPr>
              <w:t>个</w:t>
            </w:r>
            <w:r>
              <w:rPr>
                <w:rFonts w:ascii="宋体" w:hAnsi="宋体" w:cs="宋体" w:hint="eastAsia"/>
                <w:bCs/>
                <w:color w:val="FF0000"/>
                <w:kern w:val="0"/>
                <w:szCs w:val="21"/>
              </w:rPr>
              <w:t>）</w:t>
            </w:r>
          </w:p>
        </w:tc>
        <w:tc>
          <w:tcPr>
            <w:tcW w:w="3998" w:type="pct"/>
            <w:gridSpan w:val="3"/>
            <w:noWrap/>
            <w:vAlign w:val="center"/>
          </w:tcPr>
          <w:p w14:paraId="2F209FD2" w14:textId="570B3974" w:rsidR="00CB2207" w:rsidRDefault="00C00389">
            <w:pPr>
              <w:adjustRightInd w:val="0"/>
              <w:snapToGrid w:val="0"/>
              <w:spacing w:line="360" w:lineRule="auto"/>
              <w:rPr>
                <w:rFonts w:ascii="宋体" w:hAnsi="宋体" w:cs="宋体"/>
                <w:sz w:val="24"/>
              </w:rPr>
            </w:pPr>
            <w:r>
              <w:rPr>
                <w:rFonts w:ascii="宋体" w:hAnsi="宋体" w:cs="宋体" w:hint="eastAsia"/>
                <w:sz w:val="24"/>
              </w:rPr>
              <w:t>木质纤维素/</w:t>
            </w:r>
            <w:proofErr w:type="gramStart"/>
            <w:r>
              <w:rPr>
                <w:rFonts w:ascii="宋体" w:hAnsi="宋体" w:cs="宋体" w:hint="eastAsia"/>
                <w:sz w:val="24"/>
              </w:rPr>
              <w:t>融盐水合物</w:t>
            </w:r>
            <w:proofErr w:type="gramEnd"/>
            <w:r>
              <w:rPr>
                <w:rFonts w:ascii="宋体" w:hAnsi="宋体" w:cs="宋体" w:hint="eastAsia"/>
                <w:sz w:val="24"/>
              </w:rPr>
              <w:t>/糖类平台化合物/木质素</w:t>
            </w:r>
          </w:p>
        </w:tc>
      </w:tr>
      <w:tr w:rsidR="00CB2207" w14:paraId="38EEF55B" w14:textId="77777777">
        <w:trPr>
          <w:trHeight w:val="561"/>
        </w:trPr>
        <w:tc>
          <w:tcPr>
            <w:tcW w:w="1001" w:type="pct"/>
            <w:vAlign w:val="center"/>
          </w:tcPr>
          <w:p w14:paraId="45CA5F7D"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应用领域</w:t>
            </w:r>
          </w:p>
        </w:tc>
        <w:tc>
          <w:tcPr>
            <w:tcW w:w="3998" w:type="pct"/>
            <w:gridSpan w:val="3"/>
            <w:noWrap/>
            <w:vAlign w:val="center"/>
          </w:tcPr>
          <w:p w14:paraId="7FBE0C68" w14:textId="1F1C4DB8" w:rsidR="00CB2207" w:rsidRDefault="00C00389">
            <w:pPr>
              <w:adjustRightInd w:val="0"/>
              <w:snapToGrid w:val="0"/>
              <w:spacing w:line="360" w:lineRule="auto"/>
              <w:rPr>
                <w:rFonts w:ascii="宋体" w:hAnsi="宋体" w:cs="宋体"/>
                <w:sz w:val="24"/>
              </w:rPr>
            </w:pPr>
            <w:r>
              <w:rPr>
                <w:rFonts w:ascii="宋体" w:hAnsi="宋体" w:cs="宋体" w:hint="eastAsia"/>
                <w:sz w:val="24"/>
              </w:rPr>
              <w:t>生物质高值利用</w:t>
            </w:r>
          </w:p>
        </w:tc>
      </w:tr>
      <w:tr w:rsidR="00CB2207" w14:paraId="7702EEA5" w14:textId="77777777">
        <w:trPr>
          <w:trHeight w:val="4683"/>
        </w:trPr>
        <w:tc>
          <w:tcPr>
            <w:tcW w:w="1001" w:type="pct"/>
            <w:vAlign w:val="center"/>
          </w:tcPr>
          <w:p w14:paraId="42477C66" w14:textId="77777777" w:rsidR="00CB2207" w:rsidRDefault="00DC445B">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项目</w:t>
            </w:r>
            <w:r w:rsidR="00E2655E">
              <w:rPr>
                <w:rFonts w:ascii="宋体" w:hAnsi="宋体" w:cs="宋体" w:hint="eastAsia"/>
                <w:b/>
                <w:bCs/>
                <w:color w:val="444444"/>
                <w:kern w:val="0"/>
                <w:szCs w:val="21"/>
              </w:rPr>
              <w:t>简介</w:t>
            </w:r>
            <w:r w:rsidR="00E2655E">
              <w:rPr>
                <w:rFonts w:ascii="宋体" w:hAnsi="宋体" w:cs="宋体" w:hint="eastAsia"/>
                <w:color w:val="FF0000"/>
                <w:kern w:val="0"/>
                <w:szCs w:val="21"/>
              </w:rPr>
              <w:t>（</w:t>
            </w:r>
            <w:r w:rsidR="00E2655E">
              <w:rPr>
                <w:rFonts w:ascii="宋体" w:hAnsi="宋体" w:cs="宋体"/>
                <w:color w:val="FF0000"/>
                <w:kern w:val="0"/>
                <w:szCs w:val="21"/>
              </w:rPr>
              <w:t>300字左右</w:t>
            </w:r>
            <w:r w:rsidR="00E2655E">
              <w:rPr>
                <w:rFonts w:ascii="宋体" w:hAnsi="宋体" w:cs="宋体" w:hint="eastAsia"/>
                <w:color w:val="FF0000"/>
                <w:kern w:val="0"/>
                <w:szCs w:val="21"/>
              </w:rPr>
              <w:t>）</w:t>
            </w:r>
          </w:p>
        </w:tc>
        <w:tc>
          <w:tcPr>
            <w:tcW w:w="3998" w:type="pct"/>
            <w:gridSpan w:val="3"/>
            <w:noWrap/>
            <w:vAlign w:val="center"/>
          </w:tcPr>
          <w:p w14:paraId="1A79AB88" w14:textId="110DF57C" w:rsidR="00CB2207" w:rsidRDefault="009D4FDD" w:rsidP="0030399B">
            <w:pPr>
              <w:widowControl/>
              <w:ind w:firstLineChars="200" w:firstLine="420"/>
              <w:textAlignment w:val="baseline"/>
              <w:rPr>
                <w:rFonts w:ascii="Times New Roman" w:cs="Times New Roman"/>
              </w:rPr>
            </w:pPr>
            <w:r>
              <w:rPr>
                <w:rFonts w:ascii="Times New Roman" w:cs="Times New Roman" w:hint="eastAsia"/>
              </w:rPr>
              <w:t>木质纤维素生物质</w:t>
            </w:r>
            <w:r w:rsidRPr="008438D3">
              <w:rPr>
                <w:rFonts w:ascii="Times New Roman" w:cs="Times New Roman" w:hint="eastAsia"/>
              </w:rPr>
              <w:t>主要包含半纤维素、纤维素和木质素，可用于制备生物乙醇等清洁能源、各种化工原料及生物基材料，因此，可再生木质纤维素生物质资源的转化和利用已成为可持续发展重大策略。</w:t>
            </w:r>
          </w:p>
          <w:p w14:paraId="4B7C34D0" w14:textId="6C1F1DBB" w:rsidR="009D4FDD" w:rsidRPr="009D4FDD" w:rsidRDefault="009D4FDD" w:rsidP="0030399B">
            <w:pPr>
              <w:pStyle w:val="21"/>
              <w:spacing w:after="0"/>
              <w:ind w:leftChars="-13" w:left="-27" w:firstLineChars="199" w:firstLine="478"/>
            </w:pPr>
            <w:r w:rsidRPr="00061F57">
              <w:rPr>
                <w:rFonts w:hAnsi="宋体"/>
                <w:sz w:val="24"/>
              </w:rPr>
              <w:t>项目针对常规</w:t>
            </w:r>
            <w:r>
              <w:rPr>
                <w:rFonts w:hAnsi="宋体" w:hint="eastAsia"/>
                <w:sz w:val="24"/>
              </w:rPr>
              <w:t>预处理技术</w:t>
            </w:r>
            <w:r w:rsidRPr="00061F57">
              <w:rPr>
                <w:rFonts w:hAnsi="宋体" w:hint="eastAsia"/>
                <w:sz w:val="24"/>
              </w:rPr>
              <w:t>存在低温效率低，高温下糖类化合物分解和结焦，同时木质素发生缩合而导致难以解聚利用的制约；</w:t>
            </w:r>
            <w:r>
              <w:rPr>
                <w:rFonts w:hAnsi="宋体" w:hint="eastAsia"/>
                <w:sz w:val="24"/>
              </w:rPr>
              <w:t>采</w:t>
            </w:r>
            <w:r w:rsidRPr="00061F57">
              <w:rPr>
                <w:rFonts w:hAnsi="宋体" w:hint="eastAsia"/>
                <w:sz w:val="24"/>
              </w:rPr>
              <w:t>用</w:t>
            </w:r>
            <w:proofErr w:type="gramStart"/>
            <w:r w:rsidRPr="00061F57">
              <w:rPr>
                <w:rFonts w:hAnsi="宋体" w:hint="eastAsia"/>
                <w:sz w:val="24"/>
              </w:rPr>
              <w:t>无机融盐水合物</w:t>
            </w:r>
            <w:proofErr w:type="gramEnd"/>
            <w:r w:rsidRPr="00061F57">
              <w:rPr>
                <w:rFonts w:hAnsi="宋体" w:hint="eastAsia"/>
                <w:sz w:val="24"/>
              </w:rPr>
              <w:t>催化解聚木质纤维素为葡萄糖、木糖等单糖产物并高效分离木质素</w:t>
            </w:r>
            <w:r w:rsidR="0030399B">
              <w:rPr>
                <w:rFonts w:hAnsi="宋体" w:hint="eastAsia"/>
                <w:sz w:val="24"/>
              </w:rPr>
              <w:t>。</w:t>
            </w:r>
            <w:r w:rsidR="0030399B">
              <w:rPr>
                <w:rFonts w:hint="eastAsia"/>
                <w:sz w:val="24"/>
                <w:szCs w:val="24"/>
              </w:rPr>
              <w:t>采用</w:t>
            </w:r>
            <w:r w:rsidR="0030399B" w:rsidRPr="000D587A">
              <w:rPr>
                <w:rFonts w:hint="eastAsia"/>
                <w:sz w:val="24"/>
                <w:szCs w:val="24"/>
              </w:rPr>
              <w:t>微波预处理玉米秸秆的半纤维素，五碳糖收率为</w:t>
            </w:r>
            <w:r w:rsidR="0030399B" w:rsidRPr="000D587A">
              <w:rPr>
                <w:sz w:val="24"/>
                <w:szCs w:val="24"/>
              </w:rPr>
              <w:t>89.63%</w:t>
            </w:r>
            <w:r w:rsidR="0030399B">
              <w:rPr>
                <w:rFonts w:hint="eastAsia"/>
                <w:sz w:val="24"/>
                <w:szCs w:val="24"/>
              </w:rPr>
              <w:t>。再通</w:t>
            </w:r>
            <w:proofErr w:type="gramStart"/>
            <w:r w:rsidR="0030399B">
              <w:rPr>
                <w:rFonts w:hint="eastAsia"/>
                <w:sz w:val="24"/>
                <w:szCs w:val="24"/>
              </w:rPr>
              <w:t>过融盐</w:t>
            </w:r>
            <w:proofErr w:type="gramEnd"/>
            <w:r w:rsidR="0030399B">
              <w:rPr>
                <w:rFonts w:hint="eastAsia"/>
                <w:sz w:val="24"/>
                <w:szCs w:val="24"/>
              </w:rPr>
              <w:t>水合物</w:t>
            </w:r>
            <w:r w:rsidR="0030399B" w:rsidRPr="000D587A">
              <w:rPr>
                <w:rFonts w:hint="eastAsia"/>
                <w:sz w:val="24"/>
                <w:szCs w:val="24"/>
              </w:rPr>
              <w:t>溶解纤维素，趁热过滤出木质素</w:t>
            </w:r>
            <w:r w:rsidR="0030399B">
              <w:rPr>
                <w:rFonts w:hint="eastAsia"/>
                <w:sz w:val="24"/>
                <w:szCs w:val="24"/>
              </w:rPr>
              <w:t>；</w:t>
            </w:r>
            <w:r w:rsidR="0030399B" w:rsidRPr="000D587A">
              <w:rPr>
                <w:rFonts w:hint="eastAsia"/>
                <w:sz w:val="24"/>
                <w:szCs w:val="24"/>
              </w:rPr>
              <w:t>再水解纤维素为低聚糖，低聚糖</w:t>
            </w:r>
            <w:r w:rsidR="0030399B">
              <w:rPr>
                <w:rFonts w:hint="eastAsia"/>
                <w:sz w:val="24"/>
                <w:szCs w:val="24"/>
              </w:rPr>
              <w:t>进一步水解为葡萄糖，葡萄糖的总收率以及木质素的收率分别为</w:t>
            </w:r>
            <w:r w:rsidR="0030399B" w:rsidRPr="0030399B">
              <w:rPr>
                <w:rFonts w:hint="eastAsia"/>
              </w:rPr>
              <w:t>81.4%</w:t>
            </w:r>
            <w:r w:rsidR="0030399B" w:rsidRPr="0030399B">
              <w:rPr>
                <w:rFonts w:hint="eastAsia"/>
              </w:rPr>
              <w:t>和</w:t>
            </w:r>
            <w:r w:rsidR="0030399B" w:rsidRPr="0030399B">
              <w:rPr>
                <w:rFonts w:hint="eastAsia"/>
              </w:rPr>
              <w:t>93.9%</w:t>
            </w:r>
            <w:r w:rsidR="0030399B" w:rsidRPr="0030399B">
              <w:rPr>
                <w:rFonts w:hint="eastAsia"/>
              </w:rPr>
              <w:t>。</w:t>
            </w:r>
            <w:r w:rsidR="0030399B" w:rsidRPr="000D587A">
              <w:rPr>
                <w:rFonts w:hint="eastAsia"/>
                <w:sz w:val="24"/>
                <w:szCs w:val="24"/>
              </w:rPr>
              <w:t>两步法水解后的残渣</w:t>
            </w:r>
            <w:r w:rsidR="0030399B" w:rsidRPr="000D587A">
              <w:rPr>
                <w:sz w:val="24"/>
                <w:szCs w:val="24"/>
              </w:rPr>
              <w:t>β-O-4</w:t>
            </w:r>
            <w:r w:rsidR="0030399B" w:rsidRPr="000D587A">
              <w:rPr>
                <w:rFonts w:hint="eastAsia"/>
                <w:sz w:val="24"/>
                <w:szCs w:val="24"/>
              </w:rPr>
              <w:t>保留效果较好，微波预处理后的桦木木粉和微波预处理的桦木木粉再融盐水解残渣的生物油收率分别为</w:t>
            </w:r>
            <w:r w:rsidR="0030399B" w:rsidRPr="000D587A">
              <w:rPr>
                <w:sz w:val="24"/>
                <w:szCs w:val="24"/>
              </w:rPr>
              <w:t>50.02%</w:t>
            </w:r>
            <w:r w:rsidR="0030399B" w:rsidRPr="000D587A">
              <w:rPr>
                <w:rFonts w:hint="eastAsia"/>
                <w:sz w:val="24"/>
                <w:szCs w:val="24"/>
              </w:rPr>
              <w:t>和</w:t>
            </w:r>
            <w:r w:rsidR="0030399B" w:rsidRPr="000D587A">
              <w:rPr>
                <w:sz w:val="24"/>
                <w:szCs w:val="24"/>
              </w:rPr>
              <w:t>42.36%</w:t>
            </w:r>
            <w:r w:rsidR="0030399B" w:rsidRPr="000D587A">
              <w:rPr>
                <w:rFonts w:hint="eastAsia"/>
                <w:sz w:val="24"/>
                <w:szCs w:val="24"/>
              </w:rPr>
              <w:t>，单</w:t>
            </w:r>
            <w:proofErr w:type="gramStart"/>
            <w:r w:rsidR="0030399B" w:rsidRPr="000D587A">
              <w:rPr>
                <w:rFonts w:hint="eastAsia"/>
                <w:sz w:val="24"/>
                <w:szCs w:val="24"/>
              </w:rPr>
              <w:t>酚</w:t>
            </w:r>
            <w:proofErr w:type="gramEnd"/>
            <w:r w:rsidR="0030399B" w:rsidRPr="000D587A">
              <w:rPr>
                <w:rFonts w:hint="eastAsia"/>
                <w:sz w:val="24"/>
                <w:szCs w:val="24"/>
              </w:rPr>
              <w:t>收率分别为</w:t>
            </w:r>
            <w:r w:rsidR="0030399B" w:rsidRPr="000D587A">
              <w:rPr>
                <w:sz w:val="24"/>
                <w:szCs w:val="24"/>
              </w:rPr>
              <w:t>20.69%</w:t>
            </w:r>
            <w:r w:rsidR="0030399B" w:rsidRPr="000D587A">
              <w:rPr>
                <w:rFonts w:hint="eastAsia"/>
                <w:sz w:val="24"/>
                <w:szCs w:val="24"/>
              </w:rPr>
              <w:t>和</w:t>
            </w:r>
            <w:r w:rsidR="0030399B" w:rsidRPr="000D587A">
              <w:rPr>
                <w:sz w:val="24"/>
                <w:szCs w:val="24"/>
              </w:rPr>
              <w:t xml:space="preserve">18.35% </w:t>
            </w:r>
            <w:r w:rsidR="0030399B" w:rsidRPr="000D587A">
              <w:rPr>
                <w:rFonts w:hint="eastAsia"/>
                <w:sz w:val="24"/>
                <w:szCs w:val="24"/>
              </w:rPr>
              <w:t>。</w:t>
            </w:r>
          </w:p>
        </w:tc>
      </w:tr>
      <w:tr w:rsidR="00CB2207" w14:paraId="0A5730CF" w14:textId="77777777">
        <w:trPr>
          <w:trHeight w:val="915"/>
        </w:trPr>
        <w:tc>
          <w:tcPr>
            <w:tcW w:w="1001" w:type="pct"/>
            <w:vAlign w:val="center"/>
          </w:tcPr>
          <w:p w14:paraId="468A1D09" w14:textId="77777777" w:rsidR="00CB2207" w:rsidRDefault="00E2655E">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经济效益与社会效益</w:t>
            </w:r>
            <w:r>
              <w:rPr>
                <w:rFonts w:ascii="宋体" w:hAnsi="宋体" w:cs="宋体" w:hint="eastAsia"/>
                <w:color w:val="FF0000"/>
                <w:kern w:val="0"/>
                <w:szCs w:val="21"/>
              </w:rPr>
              <w:t>（150字内）</w:t>
            </w:r>
          </w:p>
        </w:tc>
        <w:tc>
          <w:tcPr>
            <w:tcW w:w="3998" w:type="pct"/>
            <w:gridSpan w:val="3"/>
            <w:noWrap/>
            <w:vAlign w:val="center"/>
          </w:tcPr>
          <w:p w14:paraId="3B88CE18" w14:textId="7B6D7592" w:rsidR="00CB2207" w:rsidRDefault="0030399B" w:rsidP="00844804">
            <w:pPr>
              <w:widowControl/>
              <w:textAlignment w:val="baseline"/>
              <w:rPr>
                <w:rFonts w:ascii="宋体" w:hAnsi="宋体"/>
                <w:color w:val="FF0000"/>
                <w:sz w:val="20"/>
                <w:szCs w:val="21"/>
              </w:rPr>
            </w:pPr>
            <w:r w:rsidRPr="00844804">
              <w:rPr>
                <w:rFonts w:hAnsi="宋体" w:hint="eastAsia"/>
                <w:sz w:val="24"/>
                <w:szCs w:val="20"/>
              </w:rPr>
              <w:t>将植物秸秆或其他农林废弃物制备为葡萄糖等糖类平台化合物，并获得结构保留良好的木质素，其符合</w:t>
            </w:r>
            <w:proofErr w:type="gramStart"/>
            <w:r w:rsidRPr="00844804">
              <w:rPr>
                <w:rFonts w:hAnsi="宋体" w:hint="eastAsia"/>
                <w:sz w:val="24"/>
                <w:szCs w:val="20"/>
              </w:rPr>
              <w:t>国家双碳战略</w:t>
            </w:r>
            <w:proofErr w:type="gramEnd"/>
            <w:r w:rsidRPr="00844804">
              <w:rPr>
                <w:rFonts w:hAnsi="宋体" w:hint="eastAsia"/>
                <w:sz w:val="24"/>
                <w:szCs w:val="20"/>
              </w:rPr>
              <w:t>的发展和落实，具有重要的社会意义。经</w:t>
            </w:r>
            <w:r w:rsidR="00844804" w:rsidRPr="00844804">
              <w:rPr>
                <w:rFonts w:hAnsi="宋体" w:hint="eastAsia"/>
                <w:sz w:val="24"/>
                <w:szCs w:val="20"/>
              </w:rPr>
              <w:t>计算：</w:t>
            </w:r>
            <w:r w:rsidR="00844804" w:rsidRPr="00844804">
              <w:rPr>
                <w:rFonts w:hAnsi="宋体" w:hint="eastAsia"/>
                <w:sz w:val="24"/>
                <w:szCs w:val="20"/>
              </w:rPr>
              <w:t>1</w:t>
            </w:r>
            <w:r w:rsidR="00844804" w:rsidRPr="00844804">
              <w:rPr>
                <w:rFonts w:hAnsi="宋体" w:hint="eastAsia"/>
                <w:sz w:val="24"/>
                <w:szCs w:val="20"/>
              </w:rPr>
              <w:t>吨生物质可获得</w:t>
            </w:r>
            <w:r w:rsidR="00844804" w:rsidRPr="00844804">
              <w:rPr>
                <w:rFonts w:hAnsi="宋体" w:hint="eastAsia"/>
                <w:sz w:val="24"/>
                <w:szCs w:val="20"/>
              </w:rPr>
              <w:t>3</w:t>
            </w:r>
            <w:r w:rsidR="00844804" w:rsidRPr="00844804">
              <w:rPr>
                <w:rFonts w:hAnsi="宋体"/>
                <w:sz w:val="24"/>
                <w:szCs w:val="20"/>
              </w:rPr>
              <w:t>59</w:t>
            </w:r>
            <w:r w:rsidR="00844804" w:rsidRPr="00844804">
              <w:rPr>
                <w:rFonts w:hAnsi="宋体" w:hint="eastAsia"/>
                <w:sz w:val="24"/>
                <w:szCs w:val="20"/>
              </w:rPr>
              <w:t>kg</w:t>
            </w:r>
            <w:r w:rsidR="00844804" w:rsidRPr="00844804">
              <w:rPr>
                <w:rFonts w:hAnsi="宋体" w:hint="eastAsia"/>
                <w:sz w:val="24"/>
                <w:szCs w:val="20"/>
              </w:rPr>
              <w:t>的葡萄糖，</w:t>
            </w:r>
            <w:r w:rsidR="00844804" w:rsidRPr="00844804">
              <w:rPr>
                <w:rFonts w:hAnsi="宋体" w:hint="eastAsia"/>
                <w:sz w:val="24"/>
                <w:szCs w:val="20"/>
              </w:rPr>
              <w:t>1</w:t>
            </w:r>
            <w:r w:rsidR="00844804" w:rsidRPr="00844804">
              <w:rPr>
                <w:rFonts w:hAnsi="宋体"/>
                <w:sz w:val="24"/>
                <w:szCs w:val="20"/>
              </w:rPr>
              <w:t>42</w:t>
            </w:r>
            <w:r w:rsidR="00844804" w:rsidRPr="00844804">
              <w:rPr>
                <w:rFonts w:hAnsi="宋体" w:hint="eastAsia"/>
                <w:sz w:val="24"/>
                <w:szCs w:val="20"/>
              </w:rPr>
              <w:t>kg</w:t>
            </w:r>
            <w:r w:rsidR="00844804" w:rsidRPr="00844804">
              <w:rPr>
                <w:rFonts w:hAnsi="宋体" w:hint="eastAsia"/>
                <w:sz w:val="24"/>
                <w:szCs w:val="20"/>
              </w:rPr>
              <w:t>的木糖和</w:t>
            </w:r>
            <w:r w:rsidR="00844804" w:rsidRPr="00844804">
              <w:rPr>
                <w:rFonts w:hAnsi="宋体" w:hint="eastAsia"/>
                <w:sz w:val="24"/>
                <w:szCs w:val="20"/>
              </w:rPr>
              <w:t>1</w:t>
            </w:r>
            <w:r w:rsidR="00844804" w:rsidRPr="00844804">
              <w:rPr>
                <w:rFonts w:hAnsi="宋体"/>
                <w:sz w:val="24"/>
                <w:szCs w:val="20"/>
              </w:rPr>
              <w:t>86</w:t>
            </w:r>
            <w:r w:rsidR="00844804" w:rsidRPr="00844804">
              <w:rPr>
                <w:rFonts w:hAnsi="宋体" w:hint="eastAsia"/>
                <w:sz w:val="24"/>
                <w:szCs w:val="20"/>
              </w:rPr>
              <w:t>kg</w:t>
            </w:r>
            <w:r w:rsidR="00844804" w:rsidRPr="00844804">
              <w:rPr>
                <w:rFonts w:hAnsi="宋体" w:hint="eastAsia"/>
                <w:sz w:val="24"/>
                <w:szCs w:val="20"/>
              </w:rPr>
              <w:t>的木质素，</w:t>
            </w:r>
            <w:proofErr w:type="gramStart"/>
            <w:r w:rsidR="00883531">
              <w:rPr>
                <w:rFonts w:hAnsi="宋体" w:hint="eastAsia"/>
                <w:sz w:val="24"/>
                <w:szCs w:val="20"/>
              </w:rPr>
              <w:t>仅</w:t>
            </w:r>
            <w:r w:rsidR="00844804" w:rsidRPr="00844804">
              <w:rPr>
                <w:rFonts w:hAnsi="宋体" w:hint="eastAsia"/>
                <w:sz w:val="24"/>
                <w:szCs w:val="20"/>
              </w:rPr>
              <w:t>糖的</w:t>
            </w:r>
            <w:proofErr w:type="gramEnd"/>
            <w:r w:rsidR="00844804" w:rsidRPr="00844804">
              <w:rPr>
                <w:rFonts w:hAnsi="宋体" w:hint="eastAsia"/>
                <w:sz w:val="24"/>
                <w:szCs w:val="20"/>
              </w:rPr>
              <w:t>收益为</w:t>
            </w:r>
            <w:r w:rsidR="00844804" w:rsidRPr="00844804">
              <w:rPr>
                <w:rFonts w:hAnsi="宋体" w:hint="eastAsia"/>
                <w:sz w:val="24"/>
                <w:szCs w:val="20"/>
              </w:rPr>
              <w:t>3</w:t>
            </w:r>
            <w:r w:rsidR="00844804" w:rsidRPr="00844804">
              <w:rPr>
                <w:rFonts w:hAnsi="宋体"/>
                <w:sz w:val="24"/>
                <w:szCs w:val="20"/>
              </w:rPr>
              <w:t>59*3.8+142*6=2200</w:t>
            </w:r>
            <w:r w:rsidR="00844804" w:rsidRPr="00844804">
              <w:rPr>
                <w:rFonts w:hAnsi="宋体" w:hint="eastAsia"/>
                <w:sz w:val="24"/>
                <w:szCs w:val="20"/>
              </w:rPr>
              <w:t>元。经济效益明显</w:t>
            </w:r>
            <w:r w:rsidR="00844804">
              <w:rPr>
                <w:rFonts w:hAnsi="宋体" w:hint="eastAsia"/>
                <w:sz w:val="24"/>
                <w:szCs w:val="20"/>
              </w:rPr>
              <w:t>。</w:t>
            </w:r>
          </w:p>
        </w:tc>
      </w:tr>
    </w:tbl>
    <w:p w14:paraId="4DF8309E" w14:textId="77777777" w:rsidR="00CB2207" w:rsidRDefault="00CB2207">
      <w:pPr>
        <w:spacing w:line="360" w:lineRule="auto"/>
        <w:rPr>
          <w:rFonts w:ascii="宋体" w:hAnsi="宋体"/>
        </w:rPr>
      </w:pPr>
    </w:p>
    <w:sectPr w:rsidR="00CB2207" w:rsidSect="00CB220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6D341" w14:textId="77777777" w:rsidR="001968B8" w:rsidRDefault="001968B8" w:rsidP="00C2714F">
      <w:r>
        <w:separator/>
      </w:r>
    </w:p>
  </w:endnote>
  <w:endnote w:type="continuationSeparator" w:id="0">
    <w:p w14:paraId="0DA12EF4" w14:textId="77777777" w:rsidR="001968B8" w:rsidRDefault="001968B8" w:rsidP="00C2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YuMincho +36p Kana Extrabold">
    <w:altName w:val="MS Gothic"/>
    <w:charset w:val="80"/>
    <w:family w:val="roman"/>
    <w:pitch w:val="default"/>
    <w:sig w:usb0="00000000" w:usb1="00000000"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E09AE" w14:textId="77777777" w:rsidR="001968B8" w:rsidRDefault="001968B8" w:rsidP="00C2714F">
      <w:r>
        <w:separator/>
      </w:r>
    </w:p>
  </w:footnote>
  <w:footnote w:type="continuationSeparator" w:id="0">
    <w:p w14:paraId="4EDC33C5" w14:textId="77777777" w:rsidR="001968B8" w:rsidRDefault="001968B8" w:rsidP="00C2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A5"/>
    <w:rsid w:val="000301A1"/>
    <w:rsid w:val="00041ABE"/>
    <w:rsid w:val="000420E8"/>
    <w:rsid w:val="0004365E"/>
    <w:rsid w:val="000710DD"/>
    <w:rsid w:val="000B767F"/>
    <w:rsid w:val="000F237B"/>
    <w:rsid w:val="001468ED"/>
    <w:rsid w:val="00180F76"/>
    <w:rsid w:val="00194119"/>
    <w:rsid w:val="001968B8"/>
    <w:rsid w:val="00203A0E"/>
    <w:rsid w:val="0023018C"/>
    <w:rsid w:val="002B1C5C"/>
    <w:rsid w:val="002E00A9"/>
    <w:rsid w:val="0030399B"/>
    <w:rsid w:val="00355E4F"/>
    <w:rsid w:val="00371A55"/>
    <w:rsid w:val="00380162"/>
    <w:rsid w:val="00401C1F"/>
    <w:rsid w:val="00450381"/>
    <w:rsid w:val="004D0283"/>
    <w:rsid w:val="004F33AE"/>
    <w:rsid w:val="00511EF3"/>
    <w:rsid w:val="005264CC"/>
    <w:rsid w:val="0054529C"/>
    <w:rsid w:val="0055640E"/>
    <w:rsid w:val="005D4952"/>
    <w:rsid w:val="005E45A3"/>
    <w:rsid w:val="005F1575"/>
    <w:rsid w:val="00630404"/>
    <w:rsid w:val="006552E9"/>
    <w:rsid w:val="006A36A5"/>
    <w:rsid w:val="006A3CAF"/>
    <w:rsid w:val="006A7891"/>
    <w:rsid w:val="006D2078"/>
    <w:rsid w:val="00844804"/>
    <w:rsid w:val="00855C45"/>
    <w:rsid w:val="008822AE"/>
    <w:rsid w:val="00883531"/>
    <w:rsid w:val="009020B3"/>
    <w:rsid w:val="00910626"/>
    <w:rsid w:val="009136F0"/>
    <w:rsid w:val="00916FF1"/>
    <w:rsid w:val="009249BE"/>
    <w:rsid w:val="009539A5"/>
    <w:rsid w:val="009A446D"/>
    <w:rsid w:val="009D4FDD"/>
    <w:rsid w:val="00A130A2"/>
    <w:rsid w:val="00AB17F1"/>
    <w:rsid w:val="00B37049"/>
    <w:rsid w:val="00B67199"/>
    <w:rsid w:val="00BF0602"/>
    <w:rsid w:val="00BF131E"/>
    <w:rsid w:val="00C00389"/>
    <w:rsid w:val="00C2714F"/>
    <w:rsid w:val="00C83528"/>
    <w:rsid w:val="00CB2207"/>
    <w:rsid w:val="00D226ED"/>
    <w:rsid w:val="00D23C1E"/>
    <w:rsid w:val="00D44614"/>
    <w:rsid w:val="00DB13AE"/>
    <w:rsid w:val="00DB63CF"/>
    <w:rsid w:val="00DC228D"/>
    <w:rsid w:val="00DC445B"/>
    <w:rsid w:val="00DD21B1"/>
    <w:rsid w:val="00DF0496"/>
    <w:rsid w:val="00DF12D4"/>
    <w:rsid w:val="00E01DD7"/>
    <w:rsid w:val="00E2655E"/>
    <w:rsid w:val="00E30F1E"/>
    <w:rsid w:val="00E55EE9"/>
    <w:rsid w:val="00EC3E5A"/>
    <w:rsid w:val="00EC6461"/>
    <w:rsid w:val="00F03CC0"/>
    <w:rsid w:val="00F605B4"/>
    <w:rsid w:val="00F64372"/>
    <w:rsid w:val="00F90640"/>
    <w:rsid w:val="00FA5BFE"/>
    <w:rsid w:val="00FB0AC6"/>
    <w:rsid w:val="00FD6A2D"/>
    <w:rsid w:val="00FE55EE"/>
    <w:rsid w:val="00FF32B7"/>
    <w:rsid w:val="033F39BE"/>
    <w:rsid w:val="0AFD45C0"/>
    <w:rsid w:val="0E5B6CD7"/>
    <w:rsid w:val="103B0B7D"/>
    <w:rsid w:val="18F038ED"/>
    <w:rsid w:val="1C96255F"/>
    <w:rsid w:val="1D0168E7"/>
    <w:rsid w:val="22F525F5"/>
    <w:rsid w:val="27090CD1"/>
    <w:rsid w:val="287D393B"/>
    <w:rsid w:val="2C2903DC"/>
    <w:rsid w:val="2EF02614"/>
    <w:rsid w:val="321A3077"/>
    <w:rsid w:val="32950E4F"/>
    <w:rsid w:val="36617E72"/>
    <w:rsid w:val="37B471A7"/>
    <w:rsid w:val="394052B2"/>
    <w:rsid w:val="39E867B1"/>
    <w:rsid w:val="3A81221E"/>
    <w:rsid w:val="44CD245C"/>
    <w:rsid w:val="4825780F"/>
    <w:rsid w:val="48BD02D9"/>
    <w:rsid w:val="4C0E478C"/>
    <w:rsid w:val="4FCB00FE"/>
    <w:rsid w:val="5C8C679B"/>
    <w:rsid w:val="5DBD11BC"/>
    <w:rsid w:val="61E1301E"/>
    <w:rsid w:val="658E121E"/>
    <w:rsid w:val="6F8A224E"/>
    <w:rsid w:val="721965E9"/>
    <w:rsid w:val="7344206E"/>
    <w:rsid w:val="76120C79"/>
    <w:rsid w:val="7A57605F"/>
    <w:rsid w:val="7D2062C1"/>
    <w:rsid w:val="7D8C1A64"/>
    <w:rsid w:val="7F035E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D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CB2207"/>
    <w:pPr>
      <w:widowControl w:val="0"/>
      <w:jc w:val="both"/>
    </w:pPr>
    <w:rPr>
      <w:rFonts w:ascii="Calibri" w:hAnsi="Calibri" w:cs="Arial"/>
      <w:kern w:val="2"/>
      <w:sz w:val="21"/>
      <w:szCs w:val="24"/>
    </w:rPr>
  </w:style>
  <w:style w:type="paragraph" w:styleId="1">
    <w:name w:val="heading 1"/>
    <w:basedOn w:val="a"/>
    <w:next w:val="a"/>
    <w:qFormat/>
    <w:rsid w:val="00CB2207"/>
    <w:pPr>
      <w:keepNext/>
      <w:keepLines/>
      <w:spacing w:before="340" w:after="330" w:line="578" w:lineRule="auto"/>
      <w:outlineLvl w:val="0"/>
    </w:pPr>
    <w:rPr>
      <w:b/>
      <w:bCs/>
      <w:kern w:val="44"/>
      <w:sz w:val="44"/>
    </w:rPr>
  </w:style>
  <w:style w:type="paragraph" w:styleId="2">
    <w:name w:val="heading 2"/>
    <w:basedOn w:val="a"/>
    <w:next w:val="a"/>
    <w:qFormat/>
    <w:rsid w:val="00CB2207"/>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CB220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next w:val="a3"/>
    <w:qFormat/>
    <w:rsid w:val="00CB2207"/>
    <w:pPr>
      <w:ind w:firstLineChars="200" w:firstLine="420"/>
    </w:pPr>
    <w:rPr>
      <w:szCs w:val="20"/>
    </w:rPr>
  </w:style>
  <w:style w:type="paragraph" w:customStyle="1" w:styleId="10">
    <w:name w:val="正文文本缩进1"/>
    <w:basedOn w:val="a"/>
    <w:qFormat/>
    <w:rsid w:val="00CB2207"/>
    <w:pPr>
      <w:spacing w:after="120"/>
      <w:ind w:leftChars="200" w:left="420"/>
    </w:pPr>
  </w:style>
  <w:style w:type="paragraph" w:styleId="a3">
    <w:name w:val="Normal (Web)"/>
    <w:basedOn w:val="a"/>
    <w:qFormat/>
    <w:rsid w:val="00CB2207"/>
    <w:pPr>
      <w:spacing w:before="100" w:beforeAutospacing="1" w:after="100" w:afterAutospacing="1"/>
    </w:pPr>
  </w:style>
  <w:style w:type="paragraph" w:styleId="a4">
    <w:name w:val="footer"/>
    <w:basedOn w:val="a"/>
    <w:link w:val="Char"/>
    <w:unhideWhenUsed/>
    <w:qFormat/>
    <w:rsid w:val="00CB2207"/>
    <w:pPr>
      <w:tabs>
        <w:tab w:val="center" w:pos="4153"/>
        <w:tab w:val="right" w:pos="8306"/>
      </w:tabs>
      <w:snapToGrid w:val="0"/>
      <w:jc w:val="left"/>
    </w:pPr>
    <w:rPr>
      <w:sz w:val="18"/>
      <w:szCs w:val="18"/>
    </w:rPr>
  </w:style>
  <w:style w:type="paragraph" w:styleId="a5">
    <w:name w:val="header"/>
    <w:basedOn w:val="a"/>
    <w:link w:val="Char0"/>
    <w:unhideWhenUsed/>
    <w:rsid w:val="00CB2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B2207"/>
    <w:rPr>
      <w:rFonts w:ascii="Calibri" w:hAnsi="Calibri" w:cs="Arial"/>
      <w:kern w:val="2"/>
      <w:sz w:val="18"/>
      <w:szCs w:val="18"/>
    </w:rPr>
  </w:style>
  <w:style w:type="character" w:customStyle="1" w:styleId="Char">
    <w:name w:val="页脚 Char"/>
    <w:basedOn w:val="a0"/>
    <w:link w:val="a4"/>
    <w:rsid w:val="00CB2207"/>
    <w:rPr>
      <w:rFonts w:ascii="Calibri" w:hAnsi="Calibri" w:cs="Arial"/>
      <w:kern w:val="2"/>
      <w:sz w:val="18"/>
      <w:szCs w:val="18"/>
    </w:rPr>
  </w:style>
  <w:style w:type="character" w:styleId="a6">
    <w:name w:val="Hyperlink"/>
    <w:uiPriority w:val="99"/>
    <w:rsid w:val="0030399B"/>
    <w:rPr>
      <w:strike w:val="0"/>
      <w:dstrike w:val="0"/>
      <w:color w:val="0000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CB2207"/>
    <w:pPr>
      <w:widowControl w:val="0"/>
      <w:jc w:val="both"/>
    </w:pPr>
    <w:rPr>
      <w:rFonts w:ascii="Calibri" w:hAnsi="Calibri" w:cs="Arial"/>
      <w:kern w:val="2"/>
      <w:sz w:val="21"/>
      <w:szCs w:val="24"/>
    </w:rPr>
  </w:style>
  <w:style w:type="paragraph" w:styleId="1">
    <w:name w:val="heading 1"/>
    <w:basedOn w:val="a"/>
    <w:next w:val="a"/>
    <w:qFormat/>
    <w:rsid w:val="00CB2207"/>
    <w:pPr>
      <w:keepNext/>
      <w:keepLines/>
      <w:spacing w:before="340" w:after="330" w:line="578" w:lineRule="auto"/>
      <w:outlineLvl w:val="0"/>
    </w:pPr>
    <w:rPr>
      <w:b/>
      <w:bCs/>
      <w:kern w:val="44"/>
      <w:sz w:val="44"/>
    </w:rPr>
  </w:style>
  <w:style w:type="paragraph" w:styleId="2">
    <w:name w:val="heading 2"/>
    <w:basedOn w:val="a"/>
    <w:next w:val="a"/>
    <w:qFormat/>
    <w:rsid w:val="00CB2207"/>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CB220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next w:val="a3"/>
    <w:qFormat/>
    <w:rsid w:val="00CB2207"/>
    <w:pPr>
      <w:ind w:firstLineChars="200" w:firstLine="420"/>
    </w:pPr>
    <w:rPr>
      <w:szCs w:val="20"/>
    </w:rPr>
  </w:style>
  <w:style w:type="paragraph" w:customStyle="1" w:styleId="10">
    <w:name w:val="正文文本缩进1"/>
    <w:basedOn w:val="a"/>
    <w:qFormat/>
    <w:rsid w:val="00CB2207"/>
    <w:pPr>
      <w:spacing w:after="120"/>
      <w:ind w:leftChars="200" w:left="420"/>
    </w:pPr>
  </w:style>
  <w:style w:type="paragraph" w:styleId="a3">
    <w:name w:val="Normal (Web)"/>
    <w:basedOn w:val="a"/>
    <w:qFormat/>
    <w:rsid w:val="00CB2207"/>
    <w:pPr>
      <w:spacing w:before="100" w:beforeAutospacing="1" w:after="100" w:afterAutospacing="1"/>
    </w:pPr>
  </w:style>
  <w:style w:type="paragraph" w:styleId="a4">
    <w:name w:val="footer"/>
    <w:basedOn w:val="a"/>
    <w:link w:val="Char"/>
    <w:unhideWhenUsed/>
    <w:qFormat/>
    <w:rsid w:val="00CB2207"/>
    <w:pPr>
      <w:tabs>
        <w:tab w:val="center" w:pos="4153"/>
        <w:tab w:val="right" w:pos="8306"/>
      </w:tabs>
      <w:snapToGrid w:val="0"/>
      <w:jc w:val="left"/>
    </w:pPr>
    <w:rPr>
      <w:sz w:val="18"/>
      <w:szCs w:val="18"/>
    </w:rPr>
  </w:style>
  <w:style w:type="paragraph" w:styleId="a5">
    <w:name w:val="header"/>
    <w:basedOn w:val="a"/>
    <w:link w:val="Char0"/>
    <w:unhideWhenUsed/>
    <w:rsid w:val="00CB22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B2207"/>
    <w:rPr>
      <w:rFonts w:ascii="Calibri" w:hAnsi="Calibri" w:cs="Arial"/>
      <w:kern w:val="2"/>
      <w:sz w:val="18"/>
      <w:szCs w:val="18"/>
    </w:rPr>
  </w:style>
  <w:style w:type="character" w:customStyle="1" w:styleId="Char">
    <w:name w:val="页脚 Char"/>
    <w:basedOn w:val="a0"/>
    <w:link w:val="a4"/>
    <w:rsid w:val="00CB2207"/>
    <w:rPr>
      <w:rFonts w:ascii="Calibri" w:hAnsi="Calibri" w:cs="Arial"/>
      <w:kern w:val="2"/>
      <w:sz w:val="18"/>
      <w:szCs w:val="18"/>
    </w:rPr>
  </w:style>
  <w:style w:type="character" w:styleId="a6">
    <w:name w:val="Hyperlink"/>
    <w:uiPriority w:val="99"/>
    <w:rsid w:val="0030399B"/>
    <w:rPr>
      <w:strike w:val="0"/>
      <w:dstrike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F6431-DD6C-438A-A912-47095FB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2021-03-12T05:08:00Z</cp:lastPrinted>
  <dcterms:created xsi:type="dcterms:W3CDTF">2023-09-12T08:46:00Z</dcterms:created>
  <dcterms:modified xsi:type="dcterms:W3CDTF">2023-09-12T08:46:00Z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1009446899_cloud</vt:lpwstr>
  </property>
  <property fmtid="{D5CDD505-2E9C-101B-9397-08002B2CF9AE}" pid="4" name="ICV">
    <vt:lpwstr>0FF3F89F4C85484A81EA5923BDFB489A</vt:lpwstr>
  </property>
</Properties>
</file>