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color w:val="000000"/>
          <w:sz w:val="36"/>
          <w:szCs w:val="36"/>
        </w:rPr>
      </w:pPr>
      <w:r>
        <w:rPr>
          <w:rFonts w:hint="eastAsia" w:asciiTheme="minorEastAsia" w:hAnsiTheme="minorEastAsia"/>
          <w:b/>
          <w:color w:val="000000"/>
          <w:sz w:val="36"/>
          <w:szCs w:val="36"/>
        </w:rPr>
        <w:t>“科创中国”技术清单库筛选表</w:t>
      </w:r>
    </w:p>
    <w:tbl>
      <w:tblPr>
        <w:tblStyle w:val="10"/>
        <w:tblpPr w:leftFromText="181" w:rightFromText="181" w:vertAnchor="text" w:horzAnchor="margin" w:tblpXSpec="center" w:tblpY="205"/>
        <w:tblOverlap w:val="never"/>
        <w:tblW w:w="52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2986"/>
        <w:gridCol w:w="1058"/>
        <w:gridCol w:w="3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项目名称</w:t>
            </w:r>
          </w:p>
        </w:tc>
        <w:tc>
          <w:tcPr>
            <w:tcW w:w="3998" w:type="pct"/>
            <w:gridSpan w:val="3"/>
            <w:vAlign w:val="center"/>
          </w:tcPr>
          <w:p>
            <w:pPr>
              <w:adjustRightInd w:val="0"/>
              <w:snapToGrid w:val="0"/>
              <w:rPr>
                <w:rFonts w:ascii="宋体" w:hAnsi="宋体"/>
              </w:rPr>
            </w:pPr>
            <w:r>
              <w:rPr>
                <w:rFonts w:hint="eastAsia" w:ascii="宋体" w:hAnsi="宋体"/>
                <w:b/>
                <w:bCs/>
              </w:rPr>
              <w:t>多模式超声凝固技术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完成人</w:t>
            </w:r>
          </w:p>
        </w:tc>
        <w:tc>
          <w:tcPr>
            <w:tcW w:w="1727" w:type="pct"/>
            <w:noWrap/>
            <w:vAlign w:val="center"/>
          </w:tcPr>
          <w:p>
            <w:pPr>
              <w:adjustRightInd w:val="0"/>
              <w:snapToGrid w:val="0"/>
              <w:rPr>
                <w:rFonts w:hint="eastAsia" w:ascii="宋体" w:hAnsi="宋体" w:eastAsia="宋体" w:cs="宋体"/>
                <w:sz w:val="24"/>
                <w:lang w:val="en-US" w:eastAsia="zh-CN"/>
              </w:rPr>
            </w:pPr>
            <w:r>
              <w:rPr>
                <w:rFonts w:hint="eastAsia" w:ascii="宋体" w:hAnsi="宋体"/>
                <w:b/>
                <w:bCs/>
              </w:rPr>
              <w:t>翟薇，王建元</w:t>
            </w:r>
            <w:r>
              <w:rPr>
                <w:rFonts w:hint="eastAsia" w:ascii="宋体" w:hAnsi="宋体"/>
                <w:b/>
                <w:bCs/>
                <w:lang w:val="en-US" w:eastAsia="zh-CN"/>
              </w:rPr>
              <w:t xml:space="preserve"> 等</w:t>
            </w:r>
          </w:p>
        </w:tc>
        <w:tc>
          <w:tcPr>
            <w:tcW w:w="602" w:type="pct"/>
            <w:noWrap/>
            <w:vAlign w:val="center"/>
          </w:tcPr>
          <w:p>
            <w:pPr>
              <w:adjustRightInd w:val="0"/>
              <w:snapToGrid w:val="0"/>
              <w:jc w:val="left"/>
              <w:rPr>
                <w:rFonts w:ascii="宋体" w:hAnsi="宋体" w:cs="宋体"/>
                <w:b/>
                <w:bCs/>
                <w:color w:val="444444"/>
                <w:kern w:val="0"/>
                <w:szCs w:val="21"/>
              </w:rPr>
            </w:pPr>
            <w:r>
              <w:rPr>
                <w:rFonts w:hint="eastAsia" w:ascii="宋体" w:hAnsi="宋体" w:cs="宋体"/>
                <w:b/>
                <w:bCs/>
                <w:color w:val="444444"/>
                <w:kern w:val="0"/>
                <w:szCs w:val="21"/>
              </w:rPr>
              <w:t>联系人</w:t>
            </w:r>
          </w:p>
        </w:tc>
        <w:tc>
          <w:tcPr>
            <w:tcW w:w="1668" w:type="pct"/>
            <w:noWrap/>
            <w:vAlign w:val="center"/>
          </w:tcPr>
          <w:p>
            <w:pPr>
              <w:adjustRightInd w:val="0"/>
              <w:snapToGrid w:val="0"/>
              <w:rPr>
                <w:rFonts w:hint="eastAsia" w:ascii="宋体" w:hAnsi="宋体" w:eastAsia="宋体" w:cs="宋体"/>
                <w:sz w:val="24"/>
                <w:lang w:val="en-US" w:eastAsia="zh-CN"/>
              </w:rPr>
            </w:pPr>
            <w:r>
              <w:rPr>
                <w:rFonts w:hint="eastAsia" w:ascii="宋体" w:hAnsi="宋体" w:cs="宋体"/>
                <w:sz w:val="24"/>
                <w:lang w:val="en-US" w:eastAsia="zh-CN"/>
              </w:rPr>
              <w:t>王建元，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1" w:type="pct"/>
            <w:vAlign w:val="center"/>
          </w:tcPr>
          <w:p>
            <w:pPr>
              <w:widowControl/>
              <w:rPr>
                <w:rFonts w:ascii="宋体" w:hAnsi="宋体" w:cs="宋体"/>
                <w:b/>
                <w:bCs/>
                <w:color w:val="444444"/>
                <w:kern w:val="0"/>
                <w:szCs w:val="21"/>
              </w:rPr>
            </w:pPr>
            <w:r>
              <w:rPr>
                <w:rFonts w:hint="eastAsia" w:ascii="宋体" w:hAnsi="宋体" w:cs="宋体"/>
                <w:b/>
                <w:bCs/>
                <w:color w:val="444444"/>
                <w:kern w:val="0"/>
                <w:szCs w:val="21"/>
              </w:rPr>
              <w:t>联系人手机</w:t>
            </w:r>
          </w:p>
        </w:tc>
        <w:tc>
          <w:tcPr>
            <w:tcW w:w="1727" w:type="pct"/>
            <w:noWrap/>
            <w:vAlign w:val="center"/>
          </w:tcPr>
          <w:p>
            <w:pPr>
              <w:adjustRightInd w:val="0"/>
              <w:snapToGrid w:val="0"/>
              <w:rPr>
                <w:rFonts w:hint="default" w:ascii="宋体" w:hAnsi="宋体" w:eastAsia="宋体" w:cs="宋体"/>
                <w:sz w:val="24"/>
                <w:lang w:val="en-US" w:eastAsia="zh-CN"/>
              </w:rPr>
            </w:pPr>
            <w:r>
              <w:rPr>
                <w:rFonts w:hint="eastAsia" w:ascii="宋体" w:hAnsi="宋体" w:cs="宋体"/>
                <w:b/>
                <w:bCs/>
                <w:sz w:val="24"/>
                <w:lang w:val="en-US" w:eastAsia="zh-CN"/>
              </w:rPr>
              <w:t>13474353420</w:t>
            </w:r>
          </w:p>
        </w:tc>
        <w:tc>
          <w:tcPr>
            <w:tcW w:w="602" w:type="pct"/>
            <w:noWrap/>
            <w:vAlign w:val="center"/>
          </w:tcPr>
          <w:p>
            <w:pPr>
              <w:adjustRightInd w:val="0"/>
              <w:snapToGrid w:val="0"/>
              <w:rPr>
                <w:rFonts w:ascii="宋体" w:hAnsi="宋体" w:cs="宋体"/>
                <w:sz w:val="24"/>
              </w:rPr>
            </w:pPr>
            <w:r>
              <w:rPr>
                <w:rFonts w:hint="eastAsia" w:ascii="宋体" w:hAnsi="宋体" w:cs="宋体"/>
                <w:b/>
                <w:bCs/>
                <w:color w:val="444444"/>
                <w:kern w:val="0"/>
                <w:szCs w:val="21"/>
              </w:rPr>
              <w:t>邮箱</w:t>
            </w:r>
          </w:p>
        </w:tc>
        <w:tc>
          <w:tcPr>
            <w:tcW w:w="1668" w:type="pct"/>
            <w:noWrap/>
            <w:vAlign w:val="center"/>
          </w:tcPr>
          <w:p>
            <w:pPr>
              <w:adjustRightInd w:val="0"/>
              <w:snapToGrid w:val="0"/>
              <w:rPr>
                <w:rFonts w:ascii="宋体" w:hAnsi="宋体" w:cs="宋体"/>
                <w:sz w:val="24"/>
              </w:rPr>
            </w:pPr>
            <w:r>
              <w:rPr>
                <w:rFonts w:hint="eastAsia" w:ascii="宋体" w:hAnsi="宋体" w:cs="宋体"/>
                <w:b/>
                <w:bCs/>
                <w:sz w:val="24"/>
                <w:lang w:val="en-US" w:eastAsia="zh-CN"/>
              </w:rPr>
              <w:t>wangjy</w:t>
            </w:r>
            <w:r>
              <w:rPr>
                <w:rFonts w:ascii="宋体" w:hAnsi="宋体" w:cs="宋体"/>
                <w:b/>
                <w:bCs/>
                <w:sz w:val="24"/>
              </w:rPr>
              <w:t>@nwpu.edu.cn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1" w:type="pct"/>
            <w:vAlign w:val="center"/>
          </w:tcPr>
          <w:p>
            <w:pPr>
              <w:widowControl/>
              <w:rPr>
                <w:rFonts w:ascii="宋体" w:hAnsi="宋体" w:cs="宋体"/>
                <w:b/>
                <w:bCs/>
                <w:color w:val="444444"/>
                <w:kern w:val="0"/>
                <w:szCs w:val="21"/>
              </w:rPr>
            </w:pPr>
            <w:r>
              <w:rPr>
                <w:rFonts w:hint="eastAsia" w:ascii="宋体" w:hAnsi="宋体" w:cs="宋体"/>
                <w:b/>
                <w:bCs/>
                <w:color w:val="444444"/>
                <w:kern w:val="0"/>
                <w:szCs w:val="21"/>
              </w:rPr>
              <w:t>完成人单位</w:t>
            </w:r>
          </w:p>
        </w:tc>
        <w:tc>
          <w:tcPr>
            <w:tcW w:w="3998" w:type="pct"/>
            <w:gridSpan w:val="3"/>
            <w:noWrap/>
            <w:vAlign w:val="center"/>
          </w:tcPr>
          <w:p>
            <w:pPr>
              <w:adjustRightInd w:val="0"/>
              <w:snapToGrid w:val="0"/>
              <w:rPr>
                <w:rFonts w:ascii="宋体" w:hAnsi="宋体" w:cs="宋体"/>
                <w:sz w:val="24"/>
              </w:rPr>
            </w:pPr>
            <w:r>
              <w:rPr>
                <w:rFonts w:hint="eastAsia" w:ascii="宋体" w:hAnsi="宋体" w:cs="宋体"/>
                <w:b/>
                <w:bCs/>
                <w:sz w:val="24"/>
              </w:rPr>
              <w:t>西北工业大学 物理科学与技术学院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技术领域</w:t>
            </w:r>
          </w:p>
        </w:tc>
        <w:tc>
          <w:tcPr>
            <w:tcW w:w="3998" w:type="pct"/>
            <w:gridSpan w:val="3"/>
            <w:noWrap/>
            <w:vAlign w:val="center"/>
          </w:tcPr>
          <w:p>
            <w:pPr>
              <w:adjustRightInd w:val="0"/>
              <w:snapToGrid w:val="0"/>
              <w:spacing w:line="360" w:lineRule="auto"/>
              <w:jc w:val="left"/>
              <w:rPr>
                <w:rFonts w:ascii="宋体" w:hAnsi="宋体" w:cs="Times New Roman"/>
                <w:color w:val="000000" w:themeColor="text1"/>
                <w:szCs w:val="21"/>
                <w14:textFill>
                  <w14:solidFill>
                    <w14:schemeClr w14:val="tx1"/>
                  </w14:solidFill>
                </w14:textFill>
              </w:rPr>
            </w:pP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sym w:font="Wingdings 2" w:char="0052"/>
            </w:r>
            <w:r>
              <w:rPr>
                <w:rFonts w:hint="eastAsia" w:ascii="宋体" w:hAnsi="宋体" w:cs="Times New Roman"/>
                <w:color w:val="000000" w:themeColor="text1"/>
                <w:szCs w:val="21"/>
                <w14:textFill>
                  <w14:solidFill>
                    <w14:schemeClr w14:val="tx1"/>
                  </w14:solidFill>
                </w14:textFill>
              </w:rPr>
              <w:t xml:space="preserve">先进基础材料       </w:t>
            </w: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能源材料 </w:t>
            </w:r>
            <w:r>
              <w:rPr>
                <w:rFonts w:ascii="宋体" w:hAnsi="宋体" w:cs="Times New Roman"/>
                <w:color w:val="000000" w:themeColor="text1"/>
                <w:szCs w:val="21"/>
                <w14:textFill>
                  <w14:solidFill>
                    <w14:schemeClr w14:val="tx1"/>
                  </w14:solidFill>
                </w14:textFill>
              </w:rPr>
              <w:t xml:space="preserve">     </w:t>
            </w:r>
            <w:r>
              <w:rPr>
                <w:rFonts w:hint="eastAsia" w:ascii="宋体" w:hAnsi="宋体" w:cs="Times New Roman"/>
                <w:color w:val="000000" w:themeColor="text1"/>
                <w:szCs w:val="21"/>
                <w14:textFill>
                  <w14:solidFill>
                    <w14:schemeClr w14:val="tx1"/>
                  </w14:solidFill>
                </w14:textFill>
              </w:rPr>
              <w:t xml:space="preserve"> </w:t>
            </w: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信息材料 </w:t>
            </w:r>
            <w:r>
              <w:rPr>
                <w:rFonts w:ascii="宋体" w:hAnsi="宋体" w:cs="Times New Roman"/>
                <w:color w:val="000000" w:themeColor="text1"/>
                <w:szCs w:val="21"/>
                <w14:textFill>
                  <w14:solidFill>
                    <w14:schemeClr w14:val="tx1"/>
                  </w14:solidFill>
                </w14:textFill>
              </w:rPr>
              <w:t xml:space="preserve">   </w:t>
            </w:r>
          </w:p>
          <w:p>
            <w:pPr>
              <w:adjustRightInd w:val="0"/>
              <w:snapToGrid w:val="0"/>
              <w:spacing w:line="360" w:lineRule="auto"/>
              <w:jc w:val="left"/>
              <w:rPr>
                <w:rFonts w:ascii="宋体" w:hAnsi="宋体" w:cs="Times New Roman"/>
                <w:color w:val="000000" w:themeColor="text1"/>
                <w:szCs w:val="21"/>
                <w14:textFill>
                  <w14:solidFill>
                    <w14:schemeClr w14:val="tx1"/>
                  </w14:solidFill>
                </w14:textFill>
              </w:rPr>
            </w:pP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环境工程材料  </w:t>
            </w:r>
            <w:r>
              <w:rPr>
                <w:rFonts w:ascii="宋体" w:hAnsi="宋体" w:cs="Times New Roman"/>
                <w:color w:val="000000" w:themeColor="text1"/>
                <w:szCs w:val="21"/>
                <w14:textFill>
                  <w14:solidFill>
                    <w14:schemeClr w14:val="tx1"/>
                  </w14:solidFill>
                </w14:textFill>
              </w:rPr>
              <w:t xml:space="preserve">     </w:t>
            </w: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生物医用材料   </w:t>
            </w:r>
            <w:r>
              <w:rPr>
                <w:rFonts w:ascii="宋体" w:hAnsi="宋体" w:cs="Times New Roman"/>
                <w:color w:val="000000" w:themeColor="text1"/>
                <w:szCs w:val="21"/>
                <w14:textFill>
                  <w14:solidFill>
                    <w14:schemeClr w14:val="tx1"/>
                  </w14:solidFill>
                </w14:textFill>
              </w:rPr>
              <w:t xml:space="preserve">   </w:t>
            </w: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衣食住行材料</w:t>
            </w:r>
            <w:r>
              <w:rPr>
                <w:rFonts w:ascii="宋体" w:hAnsi="宋体" w:cs="Times New Roman"/>
                <w:color w:val="000000" w:themeColor="text1"/>
                <w:szCs w:val="21"/>
                <w14:textFill>
                  <w14:solidFill>
                    <w14:schemeClr w14:val="tx1"/>
                  </w14:solidFill>
                </w14:textFill>
              </w:rPr>
              <w:t xml:space="preserve"> </w:t>
            </w:r>
            <w:r>
              <w:rPr>
                <w:rFonts w:hint="eastAsia" w:ascii="宋体" w:hAnsi="宋体" w:cs="Times New Roman"/>
                <w:color w:val="000000" w:themeColor="text1"/>
                <w:szCs w:val="21"/>
                <w14:textFill>
                  <w14:solidFill>
                    <w14:schemeClr w14:val="tx1"/>
                  </w14:solidFill>
                </w14:textFill>
              </w:rPr>
              <w:t xml:space="preserve"> </w:t>
            </w:r>
          </w:p>
          <w:p>
            <w:pPr>
              <w:adjustRightInd w:val="0"/>
              <w:snapToGrid w:val="0"/>
              <w:spacing w:line="360" w:lineRule="auto"/>
              <w:jc w:val="left"/>
              <w:rPr>
                <w:rFonts w:ascii="宋体" w:hAnsi="宋体" w:cs="Times New Roman"/>
                <w:color w:val="000000" w:themeColor="text1"/>
                <w:szCs w:val="21"/>
                <w14:textFill>
                  <w14:solidFill>
                    <w14:schemeClr w14:val="tx1"/>
                  </w14:solidFill>
                </w14:textFill>
              </w:rPr>
            </w:pP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安全工程材料 </w:t>
            </w:r>
            <w:r>
              <w:rPr>
                <w:rFonts w:ascii="宋体" w:hAnsi="宋体" w:cs="Times New Roman"/>
                <w:color w:val="000000" w:themeColor="text1"/>
                <w:szCs w:val="21"/>
                <w14:textFill>
                  <w14:solidFill>
                    <w14:schemeClr w14:val="tx1"/>
                  </w14:solidFill>
                </w14:textFill>
              </w:rPr>
              <w:t xml:space="preserve">      </w:t>
            </w: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t>□</w:t>
            </w:r>
            <w:r>
              <w:rPr>
                <w:rFonts w:hint="eastAsia" w:ascii="宋体" w:hAnsi="宋体" w:cs="Times New Roman"/>
                <w:color w:val="000000" w:themeColor="text1"/>
                <w:szCs w:val="21"/>
                <w14:textFill>
                  <w14:solidFill>
                    <w14:schemeClr w14:val="tx1"/>
                  </w14:solidFill>
                </w14:textFill>
              </w:rPr>
              <w:t xml:space="preserve">材料检测与分析技术 </w:t>
            </w:r>
          </w:p>
          <w:p>
            <w:pPr>
              <w:pStyle w:val="2"/>
              <w:ind w:left="0" w:leftChars="0" w:firstLine="0" w:firstLineChars="0"/>
            </w:pPr>
            <w:r>
              <w:rPr>
                <w:rFonts w:hint="eastAsia" w:ascii="YuMincho +36p Kana Extrabold" w:hAnsi="YuMincho +36p Kana Extrabold" w:eastAsia="YuMincho +36p Kana Extrabold" w:cs="Times New Roman"/>
                <w:color w:val="000000" w:themeColor="text1"/>
                <w:szCs w:val="21"/>
                <w14:textFill>
                  <w14:solidFill>
                    <w14:schemeClr w14:val="tx1"/>
                  </w14:solidFill>
                </w14:textFill>
              </w:rPr>
              <w:sym w:font="Wingdings 2" w:char="0052"/>
            </w:r>
            <w:r>
              <w:rPr>
                <w:rFonts w:hint="eastAsia" w:ascii="宋体" w:hAnsi="宋体" w:cs="Times New Roman"/>
                <w:color w:val="000000" w:themeColor="text1"/>
                <w:szCs w:val="21"/>
                <w14:textFill>
                  <w14:solidFill>
                    <w14:schemeClr w14:val="tx1"/>
                  </w14:solidFill>
                </w14:textFill>
              </w:rPr>
              <w:t>材料设计制造工艺、装备、软件及智能化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关键词</w:t>
            </w:r>
          </w:p>
        </w:tc>
        <w:tc>
          <w:tcPr>
            <w:tcW w:w="3998" w:type="pct"/>
            <w:gridSpan w:val="3"/>
            <w:noWrap/>
            <w:vAlign w:val="center"/>
          </w:tcPr>
          <w:p>
            <w:pPr>
              <w:adjustRightInd w:val="0"/>
              <w:snapToGrid w:val="0"/>
              <w:rPr>
                <w:rFonts w:ascii="宋体" w:hAnsi="宋体" w:cs="宋体"/>
                <w:sz w:val="24"/>
              </w:rPr>
            </w:pPr>
            <w:r>
              <w:rPr>
                <w:rFonts w:hint="eastAsia" w:ascii="宋体" w:hAnsi="宋体" w:cs="宋体"/>
                <w:sz w:val="22"/>
                <w:szCs w:val="22"/>
              </w:rPr>
              <w:t>多模式超声；声场传感；合金强韧化；功能材料制备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001" w:type="pct"/>
            <w:vAlign w:val="center"/>
          </w:tcPr>
          <w:p>
            <w:pPr>
              <w:widowControl/>
              <w:rPr>
                <w:rFonts w:ascii="宋体" w:hAnsi="宋体" w:cs="宋体"/>
                <w:b/>
                <w:bCs/>
                <w:color w:val="444444"/>
                <w:kern w:val="0"/>
                <w:szCs w:val="21"/>
              </w:rPr>
            </w:pPr>
            <w:r>
              <w:rPr>
                <w:rFonts w:hint="eastAsia" w:ascii="宋体" w:hAnsi="宋体" w:cs="宋体"/>
                <w:b/>
                <w:bCs/>
                <w:color w:val="444444"/>
                <w:kern w:val="0"/>
                <w:szCs w:val="21"/>
              </w:rPr>
              <w:t>应用领域</w:t>
            </w:r>
          </w:p>
        </w:tc>
        <w:tc>
          <w:tcPr>
            <w:tcW w:w="3998" w:type="pct"/>
            <w:gridSpan w:val="3"/>
            <w:noWrap/>
            <w:vAlign w:val="center"/>
          </w:tcPr>
          <w:p>
            <w:pPr>
              <w:adjustRightInd w:val="0"/>
              <w:snapToGrid w:val="0"/>
              <w:rPr>
                <w:rFonts w:hint="eastAsia" w:ascii="宋体" w:hAnsi="宋体" w:eastAsia="宋体" w:cs="宋体"/>
                <w:sz w:val="24"/>
                <w:lang w:eastAsia="zh-CN"/>
              </w:rPr>
            </w:pPr>
            <w:r>
              <w:rPr>
                <w:rFonts w:hint="eastAsia" w:ascii="宋体" w:hAnsi="宋体" w:cs="宋体"/>
                <w:b/>
                <w:bCs/>
                <w:sz w:val="24"/>
              </w:rPr>
              <w:t>先进金属材料制备</w:t>
            </w:r>
            <w:r>
              <w:rPr>
                <w:rFonts w:hint="eastAsia" w:ascii="宋体" w:hAnsi="宋体" w:cs="宋体"/>
                <w:b/>
                <w:bCs/>
                <w:sz w:val="24"/>
                <w:lang w:eastAsia="zh-CN"/>
              </w:rPr>
              <w:t>、传感器件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项目简介</w:t>
            </w:r>
            <w:bookmarkStart w:id="0" w:name="_GoBack"/>
            <w:bookmarkEnd w:id="0"/>
          </w:p>
        </w:tc>
        <w:tc>
          <w:tcPr>
            <w:tcW w:w="3998" w:type="pct"/>
            <w:gridSpan w:val="3"/>
            <w:noWrap/>
            <w:vAlign w:val="center"/>
          </w:tcPr>
          <w:p>
            <w:pPr>
              <w:adjustRightInd w:val="0"/>
              <w:snapToGrid w:val="0"/>
              <w:spacing w:line="360" w:lineRule="auto"/>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超声波在液态合金中传播时能够产生空化、声流等一系列非线性效应，是优化金属材料凝固组织并提升应用性能的有效途径。然而百年来，该技术存在着处理温度低、能量衰减快、作用范围小的严重缺陷，同时由于高温熔体声场检测反馈技术的缺乏，制约了超声动态凝固理论的深入发展，也严重阻碍了其广泛的工程应用。</w:t>
            </w:r>
          </w:p>
          <w:p>
            <w:pPr>
              <w:adjustRightInd w:val="0"/>
              <w:snapToGrid w:val="0"/>
              <w:spacing w:line="360" w:lineRule="auto"/>
              <w:ind w:firstLine="420" w:firstLineChars="200"/>
              <w:rPr>
                <w:rFonts w:ascii="宋体" w:hAnsi="宋体" w:cs="宋体"/>
                <w:sz w:val="24"/>
              </w:rPr>
            </w:pPr>
            <w:r>
              <w:rPr>
                <w:rFonts w:hint="eastAsia" w:ascii="宋体" w:hAnsi="宋体" w:cs="Times New Roman"/>
                <w:color w:val="000000" w:themeColor="text1"/>
                <w:szCs w:val="21"/>
                <w14:textFill>
                  <w14:solidFill>
                    <w14:schemeClr w14:val="tx1"/>
                  </w14:solidFill>
                </w14:textFill>
              </w:rPr>
              <w:t>围绕现有超声凝固技术瓶颈，以技术创新和科学仪器研制为源头，经过二十余年的探索，团队首创了“三维正交超声场中高温金属动态凝固技术”和“多模式宽温域超声定向凝固技术”，在国际上首次实现了“超高真空环境—多模式超声处理—高温声场检测表征—凝固组织调控—应用性能优化”的高效集成，广泛用于600~2000K金属材料的超声凝固制备。同时将研究对象由金属材料进一步拓展至无机材料，建立了基于调控瞬态空化强度及其空间分布的超声化学可控合成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1001" w:type="pct"/>
            <w:vAlign w:val="center"/>
          </w:tcPr>
          <w:p>
            <w:pPr>
              <w:widowControl/>
              <w:spacing w:line="360" w:lineRule="auto"/>
              <w:rPr>
                <w:rFonts w:ascii="宋体" w:hAnsi="宋体" w:cs="宋体"/>
                <w:b/>
                <w:bCs/>
                <w:color w:val="444444"/>
                <w:kern w:val="0"/>
                <w:szCs w:val="21"/>
              </w:rPr>
            </w:pPr>
            <w:r>
              <w:rPr>
                <w:rFonts w:hint="eastAsia" w:ascii="宋体" w:hAnsi="宋体" w:cs="宋体"/>
                <w:b/>
                <w:bCs/>
                <w:color w:val="444444"/>
                <w:kern w:val="0"/>
                <w:szCs w:val="21"/>
              </w:rPr>
              <w:t>经济效益与社会效益</w:t>
            </w:r>
            <w:r>
              <w:rPr>
                <w:rFonts w:hint="eastAsia" w:ascii="宋体" w:hAnsi="宋体" w:cs="宋体"/>
                <w:color w:val="FF0000"/>
                <w:kern w:val="0"/>
                <w:szCs w:val="21"/>
              </w:rPr>
              <w:t>（150字内）</w:t>
            </w:r>
          </w:p>
        </w:tc>
        <w:tc>
          <w:tcPr>
            <w:tcW w:w="3998" w:type="pct"/>
            <w:gridSpan w:val="3"/>
            <w:noWrap/>
            <w:vAlign w:val="center"/>
          </w:tcPr>
          <w:p>
            <w:pPr>
              <w:adjustRightInd w:val="0"/>
              <w:snapToGrid w:val="0"/>
              <w:spacing w:after="156" w:afterLines="50" w:line="288" w:lineRule="auto"/>
              <w:ind w:firstLine="420" w:firstLineChars="200"/>
              <w:rPr>
                <w:rFonts w:hint="eastAsia" w:ascii="宋体" w:hAnsi="宋体" w:eastAsia="宋体"/>
                <w:color w:val="FF0000"/>
                <w:sz w:val="20"/>
                <w:szCs w:val="21"/>
                <w:lang w:eastAsia="zh-CN"/>
              </w:rPr>
            </w:pPr>
            <w:r>
              <w:rPr>
                <w:rFonts w:hint="eastAsia" w:ascii="宋体" w:hAnsi="宋体" w:cs="Times New Roman"/>
                <w:color w:val="000000" w:themeColor="text1"/>
                <w:szCs w:val="21"/>
                <w14:textFill>
                  <w14:solidFill>
                    <w14:schemeClr w14:val="tx1"/>
                  </w14:solidFill>
                </w14:textFill>
              </w:rPr>
              <w:t>与西北有色金属研究院子公司联合获批陕西省“秦创原”项目—稀有金属材料型材产业化；开发超声熔体除气与细晶技术与装备，消除大型铝合金铸件缺陷；研发大截面型材连铸超声调控技术与装备，实现新型特种金属型材生产；创新研制超声金属腐蚀反应新技术，制备出高性能</w:t>
            </w:r>
            <w:r>
              <w:rPr>
                <w:rFonts w:hint="eastAsia" w:ascii="宋体" w:hAnsi="宋体" w:cs="Times New Roman"/>
                <w:color w:val="000000" w:themeColor="text1"/>
                <w:szCs w:val="21"/>
                <w:lang w:eastAsia="zh-CN"/>
                <w14:textFill>
                  <w14:solidFill>
                    <w14:schemeClr w14:val="tx1"/>
                  </w14:solidFill>
                </w14:textFill>
              </w:rPr>
              <w:t>海洋环境用高性能电场传感器件。</w:t>
            </w:r>
          </w:p>
        </w:tc>
      </w:tr>
    </w:tbl>
    <w:p>
      <w:pPr>
        <w:spacing w:line="360" w:lineRule="auto"/>
        <w:rPr>
          <w:rFonts w:ascii="宋体" w:hAnsi="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YuMincho +36p Kana Extrabold">
    <w:altName w:val="Yu Gothic"/>
    <w:panose1 w:val="00000000000000000000"/>
    <w:charset w:val="80"/>
    <w:family w:val="roman"/>
    <w:pitch w:val="default"/>
    <w:sig w:usb0="00000000" w:usb1="00000000" w:usb2="00000012" w:usb3="00000000" w:csb0="00020005" w:csb1="00000000"/>
  </w:font>
  <w:font w:name="Wingdings 2">
    <w:panose1 w:val="05020102010507070707"/>
    <w:charset w:val="02"/>
    <w:family w:val="roman"/>
    <w:pitch w:val="default"/>
    <w:sig w:usb0="00000000" w:usb1="00000000" w:usb2="00000000" w:usb3="00000000" w:csb0="800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hNGJiMWVmZTg4ZjFhYWZhYWFiMzBkODkwYWRkZmUifQ=="/>
  </w:docVars>
  <w:rsids>
    <w:rsidRoot w:val="006A36A5"/>
    <w:rsid w:val="000301A1"/>
    <w:rsid w:val="00041ABE"/>
    <w:rsid w:val="000420E8"/>
    <w:rsid w:val="0004365E"/>
    <w:rsid w:val="000710DD"/>
    <w:rsid w:val="000B767F"/>
    <w:rsid w:val="000F237B"/>
    <w:rsid w:val="001468ED"/>
    <w:rsid w:val="00180F76"/>
    <w:rsid w:val="00194119"/>
    <w:rsid w:val="00203A0E"/>
    <w:rsid w:val="002B1C5C"/>
    <w:rsid w:val="002B3768"/>
    <w:rsid w:val="002E00A9"/>
    <w:rsid w:val="00355E4F"/>
    <w:rsid w:val="00371A55"/>
    <w:rsid w:val="003959AE"/>
    <w:rsid w:val="00401C1F"/>
    <w:rsid w:val="00450381"/>
    <w:rsid w:val="004D0283"/>
    <w:rsid w:val="004F33AE"/>
    <w:rsid w:val="00511EF3"/>
    <w:rsid w:val="005264CC"/>
    <w:rsid w:val="0054529C"/>
    <w:rsid w:val="0055640E"/>
    <w:rsid w:val="005D4952"/>
    <w:rsid w:val="005E45A3"/>
    <w:rsid w:val="005F1575"/>
    <w:rsid w:val="00630404"/>
    <w:rsid w:val="006552E9"/>
    <w:rsid w:val="006A36A5"/>
    <w:rsid w:val="006A3CAF"/>
    <w:rsid w:val="006A7891"/>
    <w:rsid w:val="006D2078"/>
    <w:rsid w:val="00802E0F"/>
    <w:rsid w:val="00855C45"/>
    <w:rsid w:val="008822AE"/>
    <w:rsid w:val="009020B3"/>
    <w:rsid w:val="00910626"/>
    <w:rsid w:val="009136F0"/>
    <w:rsid w:val="00916FF1"/>
    <w:rsid w:val="009249BE"/>
    <w:rsid w:val="009539A5"/>
    <w:rsid w:val="009A446D"/>
    <w:rsid w:val="00A130A2"/>
    <w:rsid w:val="00AB17F1"/>
    <w:rsid w:val="00B37049"/>
    <w:rsid w:val="00B67199"/>
    <w:rsid w:val="00BA0EB8"/>
    <w:rsid w:val="00BF0602"/>
    <w:rsid w:val="00BF131E"/>
    <w:rsid w:val="00C2714F"/>
    <w:rsid w:val="00C71772"/>
    <w:rsid w:val="00C83528"/>
    <w:rsid w:val="00CB2207"/>
    <w:rsid w:val="00D226ED"/>
    <w:rsid w:val="00D23C1E"/>
    <w:rsid w:val="00D44614"/>
    <w:rsid w:val="00DB13AE"/>
    <w:rsid w:val="00DB63CF"/>
    <w:rsid w:val="00DC228D"/>
    <w:rsid w:val="00DC445B"/>
    <w:rsid w:val="00DD21B1"/>
    <w:rsid w:val="00DF12D4"/>
    <w:rsid w:val="00E01DD7"/>
    <w:rsid w:val="00E2655E"/>
    <w:rsid w:val="00E30F1E"/>
    <w:rsid w:val="00EC3E5A"/>
    <w:rsid w:val="00EC6461"/>
    <w:rsid w:val="00F03CC0"/>
    <w:rsid w:val="00F605B4"/>
    <w:rsid w:val="00F64372"/>
    <w:rsid w:val="00F90640"/>
    <w:rsid w:val="00FA5BFE"/>
    <w:rsid w:val="00FB0AC6"/>
    <w:rsid w:val="00FD6A2D"/>
    <w:rsid w:val="00FE55EE"/>
    <w:rsid w:val="00FF32B7"/>
    <w:rsid w:val="014852B3"/>
    <w:rsid w:val="033F39BE"/>
    <w:rsid w:val="0AFD45C0"/>
    <w:rsid w:val="0E5B6CD7"/>
    <w:rsid w:val="103B0B7D"/>
    <w:rsid w:val="18F038ED"/>
    <w:rsid w:val="1C96255F"/>
    <w:rsid w:val="1D0168E7"/>
    <w:rsid w:val="22F525F5"/>
    <w:rsid w:val="244C3506"/>
    <w:rsid w:val="27090CD1"/>
    <w:rsid w:val="287D393B"/>
    <w:rsid w:val="2C2903DC"/>
    <w:rsid w:val="2D7B73C8"/>
    <w:rsid w:val="2EF02614"/>
    <w:rsid w:val="2FE5105F"/>
    <w:rsid w:val="321A3077"/>
    <w:rsid w:val="32950E4F"/>
    <w:rsid w:val="358E05BF"/>
    <w:rsid w:val="36617E72"/>
    <w:rsid w:val="37B471A7"/>
    <w:rsid w:val="394052B2"/>
    <w:rsid w:val="39E867B1"/>
    <w:rsid w:val="3A81221E"/>
    <w:rsid w:val="44CD245C"/>
    <w:rsid w:val="45DF13F1"/>
    <w:rsid w:val="4825780F"/>
    <w:rsid w:val="484F2050"/>
    <w:rsid w:val="48BD02D9"/>
    <w:rsid w:val="4C0E478C"/>
    <w:rsid w:val="4C9F7730"/>
    <w:rsid w:val="4FCB00FE"/>
    <w:rsid w:val="512E4EF8"/>
    <w:rsid w:val="59425B59"/>
    <w:rsid w:val="5C8C679B"/>
    <w:rsid w:val="5D135BA2"/>
    <w:rsid w:val="5DBD11BC"/>
    <w:rsid w:val="61E1301E"/>
    <w:rsid w:val="658E121E"/>
    <w:rsid w:val="6F8A224E"/>
    <w:rsid w:val="721965E9"/>
    <w:rsid w:val="7344206E"/>
    <w:rsid w:val="76120C79"/>
    <w:rsid w:val="7A57605F"/>
    <w:rsid w:val="7D2062C1"/>
    <w:rsid w:val="7D8C1A64"/>
    <w:rsid w:val="7F035E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4"/>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rPr>
  </w:style>
  <w:style w:type="paragraph" w:styleId="6">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7">
    <w:name w:val="heading 3"/>
    <w:basedOn w:val="1"/>
    <w:next w:val="1"/>
    <w:qFormat/>
    <w:uiPriority w:val="0"/>
    <w:pPr>
      <w:keepNext/>
      <w:keepLines/>
      <w:spacing w:before="260" w:after="260" w:line="415" w:lineRule="auto"/>
      <w:outlineLvl w:val="2"/>
    </w:pPr>
    <w:rPr>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next w:val="4"/>
    <w:qFormat/>
    <w:uiPriority w:val="0"/>
    <w:pPr>
      <w:ind w:firstLine="420" w:firstLineChars="200"/>
    </w:pPr>
    <w:rPr>
      <w:szCs w:val="20"/>
    </w:rPr>
  </w:style>
  <w:style w:type="paragraph" w:customStyle="1" w:styleId="3">
    <w:name w:val="正文文本缩进1"/>
    <w:basedOn w:val="1"/>
    <w:qFormat/>
    <w:uiPriority w:val="0"/>
    <w:pPr>
      <w:spacing w:after="120"/>
      <w:ind w:left="420" w:leftChars="200"/>
    </w:pPr>
  </w:style>
  <w:style w:type="paragraph" w:styleId="4">
    <w:name w:val="Normal (Web)"/>
    <w:basedOn w:val="1"/>
    <w:qFormat/>
    <w:uiPriority w:val="0"/>
    <w:pPr>
      <w:spacing w:before="100" w:beforeAutospacing="1" w:after="100" w:afterAutospacing="1"/>
    </w:pPr>
  </w:style>
  <w:style w:type="paragraph" w:styleId="8">
    <w:name w:val="footer"/>
    <w:basedOn w:val="1"/>
    <w:link w:val="13"/>
    <w:unhideWhenUsed/>
    <w:qFormat/>
    <w:uiPriority w:val="0"/>
    <w:pPr>
      <w:tabs>
        <w:tab w:val="center" w:pos="4153"/>
        <w:tab w:val="right" w:pos="8306"/>
      </w:tabs>
      <w:snapToGrid w:val="0"/>
      <w:jc w:val="left"/>
    </w:pPr>
    <w:rPr>
      <w:sz w:val="18"/>
      <w:szCs w:val="18"/>
    </w:rPr>
  </w:style>
  <w:style w:type="paragraph" w:styleId="9">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字符"/>
    <w:basedOn w:val="11"/>
    <w:link w:val="9"/>
    <w:qFormat/>
    <w:uiPriority w:val="0"/>
    <w:rPr>
      <w:rFonts w:ascii="Calibri" w:hAnsi="Calibri" w:cs="Arial"/>
      <w:kern w:val="2"/>
      <w:sz w:val="18"/>
      <w:szCs w:val="18"/>
    </w:rPr>
  </w:style>
  <w:style w:type="character" w:customStyle="1" w:styleId="13">
    <w:name w:val="页脚 字符"/>
    <w:basedOn w:val="11"/>
    <w:link w:val="8"/>
    <w:qFormat/>
    <w:uiPriority w:val="0"/>
    <w:rPr>
      <w:rFonts w:ascii="Calibri" w:hAnsi="Calibri" w:cs="Arial"/>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61367-A99D-4320-A9DE-93FEA1764A5D}">
  <ds:schemaRefs/>
</ds:datastoreItem>
</file>

<file path=docProps/app.xml><?xml version="1.0" encoding="utf-8"?>
<Properties xmlns="http://schemas.openxmlformats.org/officeDocument/2006/extended-properties" xmlns:vt="http://schemas.openxmlformats.org/officeDocument/2006/docPropsVTypes">
  <Template>Normal</Template>
  <Pages>1</Pages>
  <Words>712</Words>
  <Characters>751</Characters>
  <Lines>5</Lines>
  <Paragraphs>1</Paragraphs>
  <TotalTime>12</TotalTime>
  <ScaleCrop>false</ScaleCrop>
  <LinksUpToDate>false</LinksUpToDate>
  <CharactersWithSpaces>794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2023-09-13T06:42:00Z</dcterms:created>
  <dc:creator>Administrator</dc:creator>
  <cp:lastModifiedBy>屈屈</cp:lastModifiedBy>
  <cp:lastPrinted>2021-03-12T05:08:00Z</cp:lastPrinted>
  <dcterms:modified xsi:type="dcterms:W3CDTF">2023-09-13T14:46:19Z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SaveFontToCloudKey">
    <vt:lpwstr>1009446899_cloud</vt:lpwstr>
  </property>
  <property fmtid="{D5CDD505-2E9C-101B-9397-08002B2CF9AE}" pid="4" name="ICV">
    <vt:lpwstr>D40E6D6D1E0A442096CF0B8DAE76DCCF</vt:lpwstr>
  </property>
</Properties>
</file>