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科技成果产业化落地方案</w:t>
      </w:r>
      <w:bookmarkStart w:id="0" w:name="_GoBack"/>
      <w:bookmarkEnd w:id="0"/>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88"/>
        <w:gridCol w:w="47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trPr>
        <w:tc>
          <w:tcPr>
            <w:tcW w:w="8760" w:type="dxa"/>
            <w:gridSpan w:val="2"/>
            <w:shd w:val="clear" w:color="auto" w:fill="auto"/>
            <w:noWrap w:val="0"/>
            <w:vAlign w:val="top"/>
          </w:tcPr>
          <w:p>
            <w:pPr>
              <w:jc w:val="center"/>
              <w:rPr>
                <w:rFonts w:ascii="仿宋_GB2312" w:eastAsia="仿宋_GB2312"/>
                <w:b/>
                <w:bCs/>
                <w:kern w:val="0"/>
                <w:sz w:val="32"/>
                <w:szCs w:val="32"/>
              </w:rPr>
            </w:pPr>
            <w:r>
              <w:rPr>
                <w:rFonts w:hint="eastAsia" w:ascii="仿宋_GB2312" w:eastAsia="仿宋_GB2312"/>
                <w:b/>
                <w:bCs/>
                <w:kern w:val="0"/>
                <w:sz w:val="32"/>
                <w:szCs w:val="32"/>
              </w:rPr>
              <w:t>科技成果产业化落地方案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trPr>
        <w:tc>
          <w:tcPr>
            <w:tcW w:w="8760" w:type="dxa"/>
            <w:gridSpan w:val="2"/>
            <w:shd w:val="clear" w:color="auto" w:fill="auto"/>
            <w:noWrap w:val="0"/>
            <w:vAlign w:val="top"/>
          </w:tcPr>
          <w:p>
            <w:pPr>
              <w:jc w:val="left"/>
              <w:rPr>
                <w:rFonts w:ascii="仿宋_GB2312" w:eastAsia="仿宋_GB2312"/>
                <w:kern w:val="0"/>
                <w:sz w:val="28"/>
                <w:szCs w:val="28"/>
              </w:rPr>
            </w:pPr>
            <w:r>
              <w:rPr>
                <w:rFonts w:hint="eastAsia" w:ascii="仿宋_GB2312" w:eastAsia="仿宋_GB2312"/>
                <w:kern w:val="0"/>
                <w:sz w:val="28"/>
                <w:szCs w:val="28"/>
              </w:rPr>
              <w:t>成果简介（1</w:t>
            </w:r>
            <w:r>
              <w:rPr>
                <w:rFonts w:ascii="仿宋_GB2312" w:eastAsia="仿宋_GB2312"/>
                <w:kern w:val="0"/>
                <w:sz w:val="28"/>
                <w:szCs w:val="28"/>
              </w:rPr>
              <w:t>000</w:t>
            </w:r>
            <w:r>
              <w:rPr>
                <w:rFonts w:hint="eastAsia" w:ascii="仿宋_GB2312" w:eastAsia="仿宋_GB2312"/>
                <w:kern w:val="0"/>
                <w:sz w:val="28"/>
                <w:szCs w:val="28"/>
              </w:rPr>
              <w:t>字以内）</w:t>
            </w:r>
            <w:r>
              <w:rPr>
                <w:rFonts w:hint="eastAsia" w:ascii="仿宋_GB2312" w:hAnsi="宋体" w:eastAsia="仿宋_GB2312"/>
                <w:color w:val="C00000"/>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4" w:hRule="atLeast"/>
        </w:trPr>
        <w:tc>
          <w:tcPr>
            <w:tcW w:w="8760" w:type="dxa"/>
            <w:gridSpan w:val="2"/>
            <w:shd w:val="clear" w:color="auto" w:fill="auto"/>
            <w:noWrap w:val="0"/>
            <w:vAlign w:val="top"/>
          </w:tcPr>
          <w:p>
            <w:pPr>
              <w:ind w:firstLine="560" w:firstLineChars="200"/>
              <w:rPr>
                <w:rFonts w:ascii="仿宋_GB2312" w:eastAsia="仿宋_GB2312"/>
                <w:b/>
                <w:bCs/>
                <w:color w:val="C3BD96"/>
                <w:kern w:val="0"/>
                <w:sz w:val="28"/>
                <w:szCs w:val="28"/>
              </w:rPr>
            </w:pPr>
            <w:r>
              <w:rPr>
                <w:rFonts w:hint="eastAsia" w:ascii="仿宋_GB2312" w:hAnsi="微软雅黑 Light" w:eastAsia="仿宋_GB2312" w:cs="Times New Roman (正文 CS 字体)"/>
                <w:sz w:val="28"/>
                <w:szCs w:val="28"/>
              </w:rPr>
              <w:t>本实用新型公开了一种加强型外墙保温板，包括十字底板</w:t>
            </w:r>
            <w:r>
              <w:rPr>
                <w:rFonts w:hint="eastAsia" w:ascii="仿宋_GB2312" w:hAnsi="微软雅黑 Light" w:eastAsia="仿宋_GB2312" w:cs="Times New Roman (正文 CS 字体)"/>
                <w:sz w:val="28"/>
                <w:szCs w:val="28"/>
                <w:lang w:eastAsia="zh-CN"/>
              </w:rPr>
              <w:t>，</w:t>
            </w:r>
            <w:r>
              <w:rPr>
                <w:rFonts w:hint="eastAsia" w:ascii="仿宋_GB2312" w:hAnsi="微软雅黑 Light" w:eastAsia="仿宋_GB2312" w:cs="Times New Roman (正文 CS 字体)"/>
                <w:sz w:val="28"/>
                <w:szCs w:val="28"/>
              </w:rPr>
              <w:t>所述十字底板的底部固定连接有若干个弹簧</w:t>
            </w:r>
            <w:r>
              <w:rPr>
                <w:rFonts w:hint="eastAsia" w:ascii="仿宋_GB2312" w:hAnsi="微软雅黑 Light" w:eastAsia="仿宋_GB2312" w:cs="Times New Roman (正文 CS 字体)"/>
                <w:sz w:val="28"/>
                <w:szCs w:val="28"/>
                <w:lang w:eastAsia="zh-CN"/>
              </w:rPr>
              <w:t>，</w:t>
            </w:r>
            <w:r>
              <w:rPr>
                <w:rFonts w:hint="eastAsia" w:ascii="仿宋_GB2312" w:hAnsi="微软雅黑 Light" w:eastAsia="仿宋_GB2312" w:cs="Times New Roman (正文 CS 字体)"/>
                <w:sz w:val="28"/>
                <w:szCs w:val="28"/>
              </w:rPr>
              <w:t>所述十字底板的四端固定连接有圆筒</w:t>
            </w:r>
            <w:r>
              <w:rPr>
                <w:rFonts w:hint="eastAsia" w:ascii="仿宋_GB2312" w:hAnsi="微软雅黑 Light" w:eastAsia="仿宋_GB2312" w:cs="Times New Roman (正文 CS 字体)"/>
                <w:sz w:val="28"/>
                <w:szCs w:val="28"/>
                <w:lang w:eastAsia="zh-CN"/>
              </w:rPr>
              <w:t>，</w:t>
            </w:r>
            <w:r>
              <w:rPr>
                <w:rFonts w:hint="eastAsia" w:ascii="仿宋_GB2312" w:hAnsi="微软雅黑 Light" w:eastAsia="仿宋_GB2312" w:cs="Times New Roman (正文 CS 字体)"/>
                <w:sz w:val="28"/>
                <w:szCs w:val="28"/>
              </w:rPr>
              <w:t>且四个圆筒关于十字底板的中心对称设置</w:t>
            </w:r>
            <w:r>
              <w:rPr>
                <w:rFonts w:hint="eastAsia" w:ascii="仿宋_GB2312" w:hAnsi="微软雅黑 Light" w:eastAsia="仿宋_GB2312" w:cs="Times New Roman (正文 CS 字体)"/>
                <w:sz w:val="28"/>
                <w:szCs w:val="28"/>
                <w:lang w:eastAsia="zh-CN"/>
              </w:rPr>
              <w:t>，</w:t>
            </w:r>
            <w:r>
              <w:rPr>
                <w:rFonts w:hint="eastAsia" w:ascii="仿宋_GB2312" w:hAnsi="微软雅黑 Light" w:eastAsia="仿宋_GB2312" w:cs="Times New Roman (正文 CS 字体)"/>
                <w:sz w:val="28"/>
                <w:szCs w:val="28"/>
              </w:rPr>
              <w:t>所述圆筒内滑动套设有连接杆</w:t>
            </w:r>
            <w:r>
              <w:rPr>
                <w:rFonts w:hint="eastAsia" w:ascii="仿宋_GB2312" w:hAnsi="微软雅黑 Light" w:eastAsia="仿宋_GB2312" w:cs="Times New Roman (正文 CS 字体)"/>
                <w:sz w:val="28"/>
                <w:szCs w:val="28"/>
                <w:lang w:eastAsia="zh-CN"/>
              </w:rPr>
              <w:t>，</w:t>
            </w:r>
            <w:r>
              <w:rPr>
                <w:rFonts w:hint="eastAsia" w:ascii="仿宋_GB2312" w:hAnsi="微软雅黑 Light" w:eastAsia="仿宋_GB2312" w:cs="Times New Roman (正文 CS 字体)"/>
                <w:sz w:val="28"/>
                <w:szCs w:val="28"/>
              </w:rPr>
              <w:t>所述连接杆的一端穿过十字底板</w:t>
            </w:r>
            <w:r>
              <w:rPr>
                <w:rFonts w:hint="eastAsia" w:ascii="仿宋_GB2312" w:hAnsi="微软雅黑 Light" w:eastAsia="仿宋_GB2312" w:cs="Times New Roman (正文 CS 字体)"/>
                <w:sz w:val="28"/>
                <w:szCs w:val="28"/>
                <w:lang w:eastAsia="zh-CN"/>
              </w:rPr>
              <w:t>，</w:t>
            </w:r>
            <w:r>
              <w:rPr>
                <w:rFonts w:hint="eastAsia" w:ascii="仿宋_GB2312" w:hAnsi="微软雅黑 Light" w:eastAsia="仿宋_GB2312" w:cs="Times New Roman (正文 CS 字体)"/>
                <w:sz w:val="28"/>
                <w:szCs w:val="28"/>
              </w:rPr>
              <w:t>所述十字底板的上方设有保温层</w:t>
            </w:r>
            <w:r>
              <w:rPr>
                <w:rFonts w:hint="eastAsia" w:ascii="仿宋_GB2312" w:hAnsi="微软雅黑 Light" w:eastAsia="仿宋_GB2312" w:cs="Times New Roman (正文 CS 字体)"/>
                <w:sz w:val="28"/>
                <w:szCs w:val="28"/>
                <w:lang w:eastAsia="zh-CN"/>
              </w:rPr>
              <w:t>，</w:t>
            </w:r>
            <w:r>
              <w:rPr>
                <w:rFonts w:hint="eastAsia" w:ascii="仿宋_GB2312" w:hAnsi="微软雅黑 Light" w:eastAsia="仿宋_GB2312" w:cs="Times New Roman (正文 CS 字体)"/>
                <w:sz w:val="28"/>
                <w:szCs w:val="28"/>
              </w:rPr>
              <w:t>所述圆筒远离十字底板的一端穿过保温层</w:t>
            </w:r>
            <w:r>
              <w:rPr>
                <w:rFonts w:hint="eastAsia" w:ascii="仿宋_GB2312" w:hAnsi="微软雅黑 Light" w:eastAsia="仿宋_GB2312" w:cs="Times New Roman (正文 CS 字体)"/>
                <w:sz w:val="28"/>
                <w:szCs w:val="28"/>
                <w:lang w:eastAsia="zh-CN"/>
              </w:rPr>
              <w:t>，</w:t>
            </w:r>
            <w:r>
              <w:rPr>
                <w:rFonts w:hint="eastAsia" w:ascii="仿宋_GB2312" w:hAnsi="微软雅黑 Light" w:eastAsia="仿宋_GB2312" w:cs="Times New Roman (正文 CS 字体)"/>
                <w:sz w:val="28"/>
                <w:szCs w:val="28"/>
              </w:rPr>
              <w:t>所述保温层的上方设有十字挡板</w:t>
            </w:r>
            <w:r>
              <w:rPr>
                <w:rFonts w:hint="eastAsia" w:ascii="仿宋_GB2312" w:hAnsi="微软雅黑 Light" w:eastAsia="仿宋_GB2312" w:cs="Times New Roman (正文 CS 字体)"/>
                <w:sz w:val="28"/>
                <w:szCs w:val="28"/>
                <w:lang w:eastAsia="zh-CN"/>
              </w:rPr>
              <w:t>，</w:t>
            </w:r>
            <w:r>
              <w:rPr>
                <w:rFonts w:hint="eastAsia" w:ascii="仿宋_GB2312" w:hAnsi="微软雅黑 Light" w:eastAsia="仿宋_GB2312" w:cs="Times New Roman (正文 CS 字体)"/>
                <w:sz w:val="28"/>
                <w:szCs w:val="28"/>
              </w:rPr>
              <w:t>所述十字挡板的四端分别固定连接两个第一挡板和两个第二挡板</w:t>
            </w:r>
            <w:r>
              <w:rPr>
                <w:rFonts w:hint="eastAsia" w:ascii="仿宋_GB2312" w:hAnsi="微软雅黑 Light" w:eastAsia="仿宋_GB2312" w:cs="Times New Roman (正文 CS 字体)"/>
                <w:sz w:val="28"/>
                <w:szCs w:val="28"/>
                <w:lang w:eastAsia="zh-CN"/>
              </w:rPr>
              <w:t>，</w:t>
            </w:r>
            <w:r>
              <w:rPr>
                <w:rFonts w:hint="eastAsia" w:ascii="仿宋_GB2312" w:hAnsi="微软雅黑 Light" w:eastAsia="仿宋_GB2312" w:cs="Times New Roman (正文 CS 字体)"/>
                <w:sz w:val="28"/>
                <w:szCs w:val="28"/>
              </w:rPr>
              <w:t>两个所述第一挡板对称设置</w:t>
            </w:r>
            <w:r>
              <w:rPr>
                <w:rFonts w:hint="eastAsia" w:ascii="仿宋_GB2312" w:hAnsi="微软雅黑 Light" w:eastAsia="仿宋_GB2312" w:cs="Times New Roman (正文 CS 字体)"/>
                <w:sz w:val="28"/>
                <w:szCs w:val="28"/>
                <w:lang w:eastAsia="zh-CN"/>
              </w:rPr>
              <w:t>，</w:t>
            </w:r>
            <w:r>
              <w:rPr>
                <w:rFonts w:hint="eastAsia" w:ascii="仿宋_GB2312" w:hAnsi="微软雅黑 Light" w:eastAsia="仿宋_GB2312" w:cs="Times New Roman (正文 CS 字体)"/>
                <w:sz w:val="28"/>
                <w:szCs w:val="28"/>
              </w:rPr>
              <w:t>第一挡板的上与十字挡板的第一挡板的下表面与十字挡板的下表面平行设置。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trPr>
        <w:tc>
          <w:tcPr>
            <w:tcW w:w="8760" w:type="dxa"/>
            <w:gridSpan w:val="2"/>
            <w:shd w:val="clear" w:color="auto" w:fill="auto"/>
            <w:noWrap w:val="0"/>
            <w:vAlign w:val="top"/>
          </w:tcPr>
          <w:p>
            <w:pPr>
              <w:jc w:val="left"/>
              <w:rPr>
                <w:rFonts w:ascii="仿宋_GB2312" w:eastAsia="仿宋_GB2312"/>
                <w:b/>
                <w:bCs/>
                <w:kern w:val="0"/>
                <w:sz w:val="28"/>
                <w:szCs w:val="28"/>
              </w:rPr>
            </w:pPr>
            <w:r>
              <w:rPr>
                <w:rFonts w:hint="eastAsia" w:ascii="仿宋_GB2312" w:eastAsia="仿宋_GB2312"/>
                <w:kern w:val="0"/>
                <w:sz w:val="28"/>
                <w:szCs w:val="28"/>
              </w:rPr>
              <w:t>技术亮点（1</w:t>
            </w:r>
            <w:r>
              <w:rPr>
                <w:rFonts w:ascii="仿宋_GB2312" w:eastAsia="仿宋_GB2312"/>
                <w:kern w:val="0"/>
                <w:sz w:val="28"/>
                <w:szCs w:val="28"/>
              </w:rPr>
              <w:t>000</w:t>
            </w:r>
            <w:r>
              <w:rPr>
                <w:rFonts w:hint="eastAsia" w:ascii="仿宋_GB2312" w:eastAsia="仿宋_GB2312"/>
                <w:kern w:val="0"/>
                <w:sz w:val="28"/>
                <w:szCs w:val="28"/>
              </w:rPr>
              <w:t>字以内）</w:t>
            </w:r>
            <w:r>
              <w:rPr>
                <w:rFonts w:hint="eastAsia" w:ascii="仿宋_GB2312" w:hAnsi="宋体" w:eastAsia="仿宋_GB2312"/>
                <w:color w:val="C00000"/>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4" w:hRule="atLeast"/>
        </w:trPr>
        <w:tc>
          <w:tcPr>
            <w:tcW w:w="8760" w:type="dxa"/>
            <w:gridSpan w:val="2"/>
            <w:shd w:val="clear" w:color="auto" w:fill="auto"/>
            <w:noWrap w:val="0"/>
            <w:vAlign w:val="top"/>
          </w:tcPr>
          <w:p>
            <w:pPr>
              <w:ind w:firstLine="560" w:firstLineChars="200"/>
              <w:rPr>
                <w:rFonts w:hint="eastAsia" w:ascii="仿宋_GB2312" w:hAnsi="微软雅黑 Light" w:eastAsia="仿宋_GB2312" w:cs="Times New Roman (正文 CS 字体)"/>
                <w:sz w:val="28"/>
                <w:szCs w:val="28"/>
              </w:rPr>
            </w:pPr>
            <w:r>
              <w:rPr>
                <w:rFonts w:hint="eastAsia" w:ascii="仿宋_GB2312" w:hAnsi="微软雅黑 Light" w:eastAsia="仿宋_GB2312" w:cs="Times New Roman (正文 CS 字体)"/>
                <w:sz w:val="28"/>
                <w:szCs w:val="28"/>
              </w:rPr>
              <w:t>该项成果通过设计一种十字底板，解决现有技术中存在的保温板（1、硅酸盐保温材料，2、陶瓷保温料，3、胶粉聚苯颗粒泡沫板，4、钢丝网采水泥泡沫板(舒乐板)，5、挤塑板EPS，6、硬泡聚氨酯现场喷涂、硬泡聚氨酯保温板，7、玻璃泡沫板，8、酚醛泡沫板，9、发泡水泥板，10、珍珠岩粘合板）的压缩强度与抗拉强度达不到外墙保温材料的A级标准的技术问题。</w:t>
            </w:r>
          </w:p>
          <w:p>
            <w:pPr>
              <w:ind w:firstLine="560" w:firstLineChars="200"/>
              <w:rPr>
                <w:rFonts w:ascii="仿宋_GB2312" w:eastAsia="仿宋_GB2312"/>
                <w:b/>
                <w:bCs/>
                <w:color w:val="C3BD96"/>
                <w:kern w:val="0"/>
                <w:sz w:val="28"/>
                <w:szCs w:val="28"/>
              </w:rPr>
            </w:pPr>
            <w:r>
              <w:rPr>
                <w:rFonts w:hint="eastAsia" w:ascii="仿宋_GB2312" w:hAnsi="微软雅黑 Light" w:eastAsia="仿宋_GB2312" w:cs="Times New Roman (正文 CS 字体)"/>
                <w:sz w:val="28"/>
                <w:szCs w:val="28"/>
              </w:rPr>
              <w:t>该技术的最大优势任何熟悉本技术领域的技术人员在本实用新型揭露的技术范围内，根据本实用新型的技术方案及其实用新型构思加以等同替换或改变，都应涵盖在本实用新型的保护范围之内。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trPr>
        <w:tc>
          <w:tcPr>
            <w:tcW w:w="8760" w:type="dxa"/>
            <w:gridSpan w:val="2"/>
            <w:shd w:val="clear" w:color="auto" w:fill="auto"/>
            <w:noWrap w:val="0"/>
            <w:vAlign w:val="top"/>
          </w:tcPr>
          <w:p>
            <w:pPr>
              <w:jc w:val="left"/>
              <w:rPr>
                <w:rFonts w:ascii="仿宋_GB2312" w:eastAsia="仿宋_GB2312"/>
                <w:kern w:val="0"/>
                <w:sz w:val="28"/>
                <w:szCs w:val="28"/>
              </w:rPr>
            </w:pPr>
            <w:r>
              <w:rPr>
                <w:rFonts w:hint="eastAsia" w:ascii="仿宋_GB2312" w:eastAsia="仿宋_GB2312"/>
                <w:kern w:val="0"/>
                <w:sz w:val="28"/>
                <w:szCs w:val="28"/>
              </w:rPr>
              <w:t>应用前景（1</w:t>
            </w:r>
            <w:r>
              <w:rPr>
                <w:rFonts w:ascii="仿宋_GB2312" w:eastAsia="仿宋_GB2312"/>
                <w:kern w:val="0"/>
                <w:sz w:val="28"/>
                <w:szCs w:val="28"/>
              </w:rPr>
              <w:t>000</w:t>
            </w:r>
            <w:r>
              <w:rPr>
                <w:rFonts w:hint="eastAsia" w:ascii="仿宋_GB2312" w:eastAsia="仿宋_GB2312"/>
                <w:kern w:val="0"/>
                <w:sz w:val="28"/>
                <w:szCs w:val="28"/>
              </w:rPr>
              <w:t>字以内）</w:t>
            </w:r>
            <w:r>
              <w:rPr>
                <w:rFonts w:hint="eastAsia" w:ascii="仿宋_GB2312" w:hAnsi="宋体" w:eastAsia="仿宋_GB2312"/>
                <w:color w:val="C00000"/>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6" w:hRule="atLeast"/>
        </w:trPr>
        <w:tc>
          <w:tcPr>
            <w:tcW w:w="8760" w:type="dxa"/>
            <w:gridSpan w:val="2"/>
            <w:shd w:val="clear" w:color="auto" w:fill="auto"/>
            <w:noWrap w:val="0"/>
            <w:vAlign w:val="top"/>
          </w:tcPr>
          <w:p>
            <w:pPr>
              <w:ind w:firstLine="560" w:firstLineChars="200"/>
              <w:rPr>
                <w:rFonts w:hint="default" w:ascii="仿宋_GB2312" w:eastAsia="仿宋_GB2312"/>
                <w:b/>
                <w:bCs/>
                <w:color w:val="C3BD96"/>
                <w:kern w:val="0"/>
                <w:sz w:val="28"/>
                <w:szCs w:val="28"/>
                <w:lang w:val="en-US"/>
              </w:rPr>
            </w:pPr>
            <w:r>
              <w:rPr>
                <w:rFonts w:hint="eastAsia" w:ascii="仿宋_GB2312" w:hAnsi="微软雅黑 Light" w:eastAsia="仿宋_GB2312" w:cs="Times New Roman (正文 CS 字体)"/>
                <w:sz w:val="28"/>
                <w:szCs w:val="28"/>
                <w:lang w:val="en-US" w:eastAsia="zh-CN"/>
              </w:rPr>
              <w:t>生产</w:t>
            </w:r>
            <w:r>
              <w:rPr>
                <w:rFonts w:hint="eastAsia" w:ascii="仿宋_GB2312" w:hAnsi="微软雅黑 Light" w:eastAsia="仿宋_GB2312" w:cs="Times New Roman (正文 CS 字体)"/>
                <w:sz w:val="28"/>
                <w:szCs w:val="28"/>
              </w:rPr>
              <w:t>压缩强度与抗拉强度达到A级标准外墙保温材料</w:t>
            </w:r>
            <w:r>
              <w:rPr>
                <w:rFonts w:hint="eastAsia" w:ascii="仿宋_GB2312" w:hAnsi="微软雅黑 Light" w:eastAsia="仿宋_GB2312" w:cs="Times New Roman (正文 CS 字体)"/>
                <w:sz w:val="28"/>
                <w:szCs w:val="28"/>
                <w:lang w:eastAsia="zh-CN"/>
              </w:rPr>
              <w:t>，</w:t>
            </w:r>
            <w:r>
              <w:rPr>
                <w:rFonts w:hint="eastAsia" w:ascii="仿宋_GB2312" w:hAnsi="微软雅黑 Light" w:eastAsia="仿宋_GB2312" w:cs="Times New Roman (正文 CS 字体)"/>
                <w:sz w:val="28"/>
                <w:szCs w:val="28"/>
                <w:lang w:val="en-US" w:eastAsia="zh-CN"/>
              </w:rPr>
              <w:t>产品在使用中满足</w:t>
            </w:r>
            <w:r>
              <w:rPr>
                <w:rFonts w:hint="eastAsia" w:ascii="仿宋_GB2312" w:hAnsi="微软雅黑 Light" w:eastAsia="仿宋_GB2312" w:cs="Times New Roman (正文 CS 字体)"/>
                <w:sz w:val="28"/>
                <w:szCs w:val="28"/>
                <w:lang w:eastAsia="zh-CN"/>
              </w:rPr>
              <w:t>《民用建筑外保温系统及外墙装饰防火暂行规定》的要求，用于墙体保温防火隔离带</w:t>
            </w:r>
            <w:r>
              <w:rPr>
                <w:rFonts w:hint="eastAsia" w:ascii="仿宋_GB2312" w:hAnsi="微软雅黑 Light" w:eastAsia="仿宋_GB2312" w:cs="Times New Roman (正文 CS 字体)"/>
                <w:sz w:val="28"/>
                <w:szCs w:val="28"/>
                <w:lang w:val="en-US" w:eastAsia="zh-CN"/>
              </w:rPr>
              <w:t>建造。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trPr>
        <w:tc>
          <w:tcPr>
            <w:tcW w:w="8760" w:type="dxa"/>
            <w:gridSpan w:val="2"/>
            <w:shd w:val="clear" w:color="auto" w:fill="auto"/>
            <w:noWrap w:val="0"/>
            <w:vAlign w:val="top"/>
          </w:tcPr>
          <w:p>
            <w:pPr>
              <w:jc w:val="left"/>
              <w:rPr>
                <w:rFonts w:ascii="仿宋_GB2312" w:eastAsia="仿宋_GB2312"/>
                <w:kern w:val="0"/>
                <w:sz w:val="28"/>
                <w:szCs w:val="28"/>
              </w:rPr>
            </w:pPr>
            <w:r>
              <w:rPr>
                <w:rFonts w:hint="eastAsia" w:ascii="仿宋_GB2312" w:eastAsia="仿宋_GB2312"/>
                <w:kern w:val="0"/>
                <w:sz w:val="28"/>
                <w:szCs w:val="28"/>
              </w:rPr>
              <w:t>团队概括（1</w:t>
            </w:r>
            <w:r>
              <w:rPr>
                <w:rFonts w:ascii="仿宋_GB2312" w:eastAsia="仿宋_GB2312"/>
                <w:kern w:val="0"/>
                <w:sz w:val="28"/>
                <w:szCs w:val="28"/>
              </w:rPr>
              <w:t>000</w:t>
            </w:r>
            <w:r>
              <w:rPr>
                <w:rFonts w:hint="eastAsia" w:ascii="仿宋_GB2312" w:eastAsia="仿宋_GB2312"/>
                <w:kern w:val="0"/>
                <w:sz w:val="28"/>
                <w:szCs w:val="28"/>
              </w:rPr>
              <w:t>字以内）</w:t>
            </w:r>
            <w:r>
              <w:rPr>
                <w:rFonts w:hint="eastAsia" w:ascii="仿宋_GB2312" w:hAnsi="宋体" w:eastAsia="仿宋_GB2312"/>
                <w:color w:val="C00000"/>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trPr>
        <w:tc>
          <w:tcPr>
            <w:tcW w:w="8760" w:type="dxa"/>
            <w:gridSpan w:val="2"/>
            <w:shd w:val="clear" w:color="auto" w:fill="auto"/>
            <w:noWrap w:val="0"/>
            <w:vAlign w:val="top"/>
          </w:tcPr>
          <w:p>
            <w:pPr>
              <w:ind w:firstLine="560" w:firstLineChars="200"/>
              <w:rPr>
                <w:rFonts w:ascii="仿宋_GB2312" w:hAnsi="仿宋_GB2312" w:eastAsia="仿宋_GB2312" w:cs="Times New Roman (正文 CS 字体)"/>
                <w:color w:val="7F7F7F"/>
                <w:sz w:val="28"/>
                <w:szCs w:val="28"/>
              </w:rPr>
            </w:pPr>
            <w:r>
              <w:rPr>
                <w:rFonts w:hint="eastAsia" w:ascii="仿宋_GB2312" w:hAnsi="微软雅黑 Light" w:eastAsia="仿宋_GB2312" w:cs="Times New Roman (正文 CS 字体)"/>
                <w:sz w:val="28"/>
                <w:szCs w:val="28"/>
                <w:lang w:val="en-US" w:eastAsia="zh-CN"/>
              </w:rPr>
              <w:t>设计团队带头人：许勤刚。先后参与了“A2级防火外墙保温板”项目以及“加强型外墙保温板”的课题研究。在职期间积极开展创新型研究，培养创造型人才，获取自主知识产权的原创性成果，推动保温材料实现压缩强度与抗拉强度达到A级标准的技术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trPr>
        <w:tc>
          <w:tcPr>
            <w:tcW w:w="8760" w:type="dxa"/>
            <w:gridSpan w:val="2"/>
            <w:shd w:val="clear" w:color="auto" w:fill="auto"/>
            <w:noWrap w:val="0"/>
            <w:vAlign w:val="top"/>
          </w:tcPr>
          <w:p>
            <w:pPr>
              <w:rPr>
                <w:rFonts w:ascii="仿宋_GB2312" w:eastAsia="仿宋_GB2312"/>
                <w:kern w:val="0"/>
                <w:sz w:val="28"/>
                <w:szCs w:val="28"/>
              </w:rPr>
            </w:pPr>
            <w:r>
              <w:rPr>
                <w:rFonts w:hint="eastAsia" w:ascii="仿宋_GB2312" w:eastAsia="仿宋_GB2312"/>
                <w:kern w:val="0"/>
                <w:sz w:val="28"/>
                <w:szCs w:val="28"/>
              </w:rPr>
              <w:t>产生的效益（1</w:t>
            </w:r>
            <w:r>
              <w:rPr>
                <w:rFonts w:ascii="仿宋_GB2312" w:eastAsia="仿宋_GB2312"/>
                <w:kern w:val="0"/>
                <w:sz w:val="28"/>
                <w:szCs w:val="28"/>
              </w:rPr>
              <w:t>000</w:t>
            </w:r>
            <w:r>
              <w:rPr>
                <w:rFonts w:hint="eastAsia" w:ascii="仿宋_GB2312" w:eastAsia="仿宋_GB2312"/>
                <w:kern w:val="0"/>
                <w:sz w:val="28"/>
                <w:szCs w:val="28"/>
              </w:rPr>
              <w:t>字以内）</w:t>
            </w:r>
            <w:r>
              <w:rPr>
                <w:rFonts w:hint="eastAsia" w:ascii="仿宋_GB2312" w:hAnsi="宋体" w:eastAsia="仿宋_GB2312"/>
                <w:color w:val="C00000"/>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6" w:hRule="atLeast"/>
        </w:trPr>
        <w:tc>
          <w:tcPr>
            <w:tcW w:w="8760" w:type="dxa"/>
            <w:gridSpan w:val="2"/>
            <w:shd w:val="clear" w:color="auto" w:fill="auto"/>
            <w:noWrap w:val="0"/>
            <w:vAlign w:val="top"/>
          </w:tcPr>
          <w:p>
            <w:pPr>
              <w:ind w:firstLine="560" w:firstLineChars="200"/>
              <w:rPr>
                <w:rFonts w:hint="default" w:ascii="仿宋_GB2312" w:hAnsi="仿宋_GB2312" w:eastAsia="仿宋_GB2312" w:cs="Times New Roman (正文 CS 字体)"/>
                <w:color w:val="7F7F7F"/>
                <w:sz w:val="28"/>
                <w:szCs w:val="28"/>
                <w:lang w:val="en-US" w:eastAsia="zh-CN"/>
              </w:rPr>
            </w:pPr>
            <w:r>
              <w:rPr>
                <w:rFonts w:hint="eastAsia" w:ascii="仿宋_GB2312" w:hAnsi="微软雅黑 Light" w:eastAsia="仿宋_GB2312" w:cs="Times New Roman (正文 CS 字体)"/>
                <w:sz w:val="28"/>
                <w:szCs w:val="28"/>
                <w:lang w:val="en-US" w:eastAsia="zh-CN"/>
              </w:rPr>
              <w:t>成果方自专利审批后，已在厂区内完成前期实验，可以进行规模化生产应用，具有技术数据参数，安装生产办法及说明。也具有相关的后续故障维修方法。经过投产后，目前已在生产加工过程中，实现了A级标准材料生产，产生了一定的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trPr>
        <w:tc>
          <w:tcPr>
            <w:tcW w:w="8760" w:type="dxa"/>
            <w:gridSpan w:val="2"/>
            <w:shd w:val="clear" w:color="auto" w:fill="auto"/>
            <w:noWrap w:val="0"/>
            <w:vAlign w:val="center"/>
          </w:tcPr>
          <w:p>
            <w:pPr>
              <w:rPr>
                <w:rFonts w:ascii="仿宋_GB2312" w:eastAsia="仿宋_GB2312"/>
                <w:kern w:val="0"/>
                <w:sz w:val="28"/>
                <w:szCs w:val="28"/>
              </w:rPr>
            </w:pPr>
            <w:r>
              <w:rPr>
                <w:rFonts w:hint="eastAsia" w:ascii="仿宋_GB2312" w:eastAsia="仿宋_GB2312"/>
                <w:kern w:val="0"/>
                <w:sz w:val="28"/>
                <w:szCs w:val="28"/>
              </w:rPr>
              <w:t>转化方式（1</w:t>
            </w:r>
            <w:r>
              <w:rPr>
                <w:rFonts w:ascii="仿宋_GB2312" w:eastAsia="仿宋_GB2312"/>
                <w:kern w:val="0"/>
                <w:sz w:val="28"/>
                <w:szCs w:val="28"/>
              </w:rPr>
              <w:t>000</w:t>
            </w:r>
            <w:r>
              <w:rPr>
                <w:rFonts w:hint="eastAsia" w:ascii="仿宋_GB2312" w:eastAsia="仿宋_GB2312"/>
                <w:kern w:val="0"/>
                <w:sz w:val="28"/>
                <w:szCs w:val="28"/>
              </w:rPr>
              <w:t>以内）</w:t>
            </w:r>
            <w:r>
              <w:rPr>
                <w:rFonts w:hint="eastAsia" w:ascii="仿宋_GB2312" w:hAnsi="宋体" w:eastAsia="仿宋_GB2312"/>
                <w:color w:val="C00000"/>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3" w:hRule="atLeast"/>
        </w:trPr>
        <w:tc>
          <w:tcPr>
            <w:tcW w:w="8760" w:type="dxa"/>
            <w:gridSpan w:val="2"/>
            <w:shd w:val="clear" w:color="auto" w:fill="auto"/>
            <w:noWrap w:val="0"/>
            <w:vAlign w:val="top"/>
          </w:tcPr>
          <w:p>
            <w:pPr>
              <w:ind w:firstLine="640"/>
              <w:rPr>
                <w:rFonts w:ascii="仿宋" w:hAnsi="仿宋" w:eastAsia="仿宋" w:cs="Times New Roman (正文 CS 字体)"/>
                <w:b/>
                <w:bCs/>
                <w:color w:val="C3BD96"/>
                <w:kern w:val="0"/>
                <w:sz w:val="28"/>
                <w:szCs w:val="28"/>
              </w:rPr>
            </w:pPr>
            <w:r>
              <w:rPr>
                <w:rFonts w:hint="eastAsia" w:ascii="仿宋_GB2312" w:hAnsi="微软雅黑 Light" w:eastAsia="仿宋_GB2312" w:cs="Times New Roman (正文 CS 字体)"/>
                <w:sz w:val="28"/>
                <w:szCs w:val="28"/>
                <w:lang w:val="en-US" w:eastAsia="zh-CN"/>
              </w:rPr>
              <w:t>通过技术转让的方式提供保温板的压缩强度与抗拉强度达不到外墙保温材料的A级标准的专利应用。解决保温板的压缩强度与抗拉强度达不到外墙保温材料的A级标准生产线设计、设备推荐、后续维修服务。目标：有效解决生产保温板的压缩强度与抗拉强度达不到外墙保温材料的A级标准的问题，同时提高生产效率，降低生产成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3886" w:type="dxa"/>
            <w:shd w:val="clear" w:color="auto" w:fill="auto"/>
            <w:noWrap w:val="0"/>
            <w:vAlign w:val="top"/>
          </w:tcPr>
          <w:p>
            <w:pPr>
              <w:jc w:val="left"/>
              <w:rPr>
                <w:rFonts w:ascii="仿宋_GB2312" w:eastAsia="仿宋_GB2312"/>
                <w:kern w:val="0"/>
                <w:sz w:val="28"/>
                <w:szCs w:val="28"/>
              </w:rPr>
            </w:pPr>
            <w:r>
              <w:rPr>
                <w:rFonts w:hint="eastAsia" w:ascii="仿宋_GB2312" w:eastAsia="仿宋_GB2312"/>
                <w:kern w:val="0"/>
                <w:sz w:val="28"/>
                <w:szCs w:val="28"/>
              </w:rPr>
              <w:t>相关证明文件</w:t>
            </w:r>
          </w:p>
        </w:tc>
        <w:tc>
          <w:tcPr>
            <w:tcW w:w="4874" w:type="dxa"/>
            <w:shd w:val="clear" w:color="auto" w:fill="auto"/>
            <w:noWrap w:val="0"/>
            <w:vAlign w:val="top"/>
          </w:tcPr>
          <w:p>
            <w:pPr>
              <w:rPr>
                <w:rFonts w:ascii="仿宋_GB2312" w:eastAsia="仿宋_GB2312"/>
                <w:kern w:val="0"/>
                <w:sz w:val="28"/>
                <w:szCs w:val="28"/>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Times New Roman (正文 CS 字体)">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微软雅黑 Light">
    <w:panose1 w:val="020B0502040204020203"/>
    <w:charset w:val="86"/>
    <w:family w:val="swiss"/>
    <w:pitch w:val="default"/>
    <w:sig w:usb0="80000287" w:usb1="2ACF0010" w:usb2="00000016" w:usb3="00000000" w:csb0="0004001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xMjFlYTNkYmIwYmZhNjlkZWMyZjU1MTlkMDZjZGYifQ=="/>
  </w:docVars>
  <w:rsids>
    <w:rsidRoot w:val="00000000"/>
    <w:rsid w:val="0C05346E"/>
    <w:rsid w:val="13D6553C"/>
    <w:rsid w:val="19C71D9C"/>
    <w:rsid w:val="51C07B1A"/>
    <w:rsid w:val="7801661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1024</Words>
  <Characters>1046</Characters>
  <Lines>0</Lines>
  <Paragraphs>0</Paragraphs>
  <TotalTime>28</TotalTime>
  <ScaleCrop>false</ScaleCrop>
  <LinksUpToDate>false</LinksUpToDate>
  <CharactersWithSpaces>1046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admin</cp:lastModifiedBy>
  <dcterms:modified xsi:type="dcterms:W3CDTF">2022-10-25T09:20:44Z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EC749A0448C641789ED2657F952D417C</vt:lpwstr>
  </property>
</Properties>
</file>