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44"/>
          <w:szCs w:val="44"/>
        </w:rPr>
      </w:pPr>
      <w:r>
        <w:rPr>
          <w:rFonts w:hint="eastAsia" w:ascii="仿宋_GB2312" w:eastAsia="仿宋_GB2312"/>
          <w:w w:val="99"/>
          <w:sz w:val="44"/>
          <w:szCs w:val="44"/>
        </w:rPr>
        <w:t>硫化氢泄漏捕消技术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技术包括硫化氢捕消剂和硫化氢捕消器两部分。当硫化氢气体泄漏时，通过硫化氢捕消器（有手提式、推车式、固定式和拖车式等四种形式）向泄漏区域喷射硫化氢捕消剂，泄漏在空气中的硫化氢与硫化氢捕消剂反应后生成了稳定的硫化物，可在短时间内降低和控制硫化氢扩散的速度和范围，最终消除硫化氢的毒性危害。</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硫化氢捕消剂的硫化氢捕消效率≥95%。手提式硫化氢捕消器的喷射距离≥3.5m，有效喷射时间≥9s，喷射剩余率≤15%。推车式硫化氢捕消器的喷射距离≥6m，有效喷射时间≥20s，喷射剩余率≤15%。拖车式/固定式硫化氢捕消器的喷射距离≥20m，喷射剩余率≤10%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关键技术一：硫化氢捕消剂。由硫化氢反应剂、防潮剂和分散剂等原料组成，能与硫化氢气体发生物理吸附和化学反应的粉状混合物。硫化氢捕消剂的沉降速度小于 5g/m2×min，可在空气中长时间悬浮，与硫化氢进行充分接触和反应。</w:t>
            </w:r>
          </w:p>
          <w:p>
            <w:p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关键技术二：硫化氢捕消器。是充有一定压力驱动气体的硫化氢捕消剂的储存容器，操作原理与干粉灭火器相似。具体型式有手提式、推车式、固定式和拖车式等四种，能适用于不同的硫化氢泄漏防护场所。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本技术适用于具有硫化氢泄漏风险的油气开发、集输、净化和炼制等石化生产作业场所，造纸、制药等存在化学过程的生产设施，城市污水管网、排污系统清污清淤和改造施工以及各类硫化氢泄漏应急抢险作业。2011至2013年间，利用该技术装备对普光气田采气厂污水池中的硫化氢气体（浓度范围多在 3%-17%之间）进行了多次现场捕消，清除效率最高达到了99.8%。2016年1 月，对青岛九盛纸制品有限公司“12.25”事故的回水循环池、污水池和纸浆池内的硫化氢气体（浓度高达 42mg/m3）进行现场捕消，使硫化氢浓度降为零。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石油化工股份有限公司青岛安全工程研究院是中国石化的直属科研单位，是中国石化HSE科技创新、技术进步及应用开发的重要研究基地，是国内石油石化安全技术优势突出的安全工程研究机构，也是国家危险化学品危害预防与控制、行业安全风险评价、石化行业HSE管理咨询的主要支撑单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安全工程研究院现有科研人员400余名，拥有一支在安全技术研究和应用领域优势突出、团结有为、勇于创新的科技队伍，其中教授级以上人员18名，博士40名，硕士81名，建有研究生工作站。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技术能够消除硫化氢的致命性危害，是涉硫化氢作业、生产的常备安全保障措施，也是硫化氢泄漏事故急救和抢险的专用技术装备，能降低硫化氢泄漏事故产生的危害，最大限度地保障人民群众生命安全，为安全生产提供有力的保障，具有广阔的应用推广前景。该技术属于应急安全防护技术设备，对保障人民群众生命及财产安全具有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该技术成熟，已在造纸厂、采气厂等进行了应用，可提供设备、试剂等技术产品，还可以提供技术服务、技术指导、技术咨询等。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DUwNTY5NGRlMTc1MGZkMzc4Yzk5ZDY3YmFmNmM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39620E52"/>
    <w:rsid w:val="537E6AE3"/>
    <w:rsid w:val="54744212"/>
    <w:rsid w:val="6A20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9"/>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4 字符"/>
    <w:basedOn w:val="8"/>
    <w:link w:val="3"/>
    <w:qFormat/>
    <w:uiPriority w:val="9"/>
    <w:rPr>
      <w:rFonts w:ascii="仿宋_GB2312" w:eastAsia="仿宋_GB2312" w:hAnsiTheme="majorHAnsi" w:cstheme="majorBidi"/>
      <w:sz w:val="32"/>
      <w:szCs w:val="28"/>
    </w:rPr>
  </w:style>
  <w:style w:type="character" w:customStyle="1" w:styleId="10">
    <w:name w:val="标题 3 字符"/>
    <w:basedOn w:val="8"/>
    <w:link w:val="2"/>
    <w:semiHidden/>
    <w:qFormat/>
    <w:uiPriority w:val="9"/>
    <w:rPr>
      <w:rFonts w:eastAsia="仿宋_GB2312"/>
      <w:bCs/>
      <w:sz w:val="32"/>
      <w:szCs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1212</Words>
  <Characters>1297</Characters>
  <Lines>4</Lines>
  <Paragraphs>1</Paragraphs>
  <TotalTime>0</TotalTime>
  <ScaleCrop>false</ScaleCrop>
  <LinksUpToDate>false</LinksUpToDate>
  <CharactersWithSpaces>1301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王新美</cp:lastModifiedBy>
  <dcterms:modified xsi:type="dcterms:W3CDTF">2022-11-01T09:41:44Z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9EBAE679083F4DD384DB0D414897CE3C</vt:lpwstr>
  </property>
</Properties>
</file>