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eastAsia="仿宋_GB2312"/>
          <w:sz w:val="44"/>
          <w:szCs w:val="44"/>
        </w:rPr>
      </w:pPr>
      <w:r>
        <w:rPr>
          <w:rFonts w:hint="eastAsia" w:ascii="仿宋_GB2312" w:eastAsia="仿宋_GB2312"/>
          <w:w w:val="99"/>
          <w:sz w:val="44"/>
          <w:szCs w:val="44"/>
        </w:rPr>
        <w:t>投弹式高层建筑干粉消防车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81"/>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shd w:val="clear" w:color="auto" w:fill="auto"/>
          </w:tcPr>
          <w:p>
            <w:pPr>
              <w:jc w:val="center"/>
              <w:rPr>
                <w:rFonts w:ascii="仿宋_GB2312" w:eastAsia="仿宋_GB2312"/>
                <w:b/>
                <w:bCs/>
                <w:kern w:val="0"/>
                <w:sz w:val="32"/>
                <w:szCs w:val="32"/>
              </w:rPr>
            </w:pPr>
            <w:r>
              <w:rPr>
                <w:rFonts w:hint="eastAsia" w:ascii="仿宋_GB2312" w:eastAsia="仿宋_GB2312"/>
                <w:b/>
                <w:bCs/>
                <w:kern w:val="0"/>
                <w:sz w:val="32"/>
                <w:szCs w:val="32"/>
              </w:rPr>
              <w:t>科技成果产业化落地方案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成果简介（1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ascii="仿宋_GB2312" w:eastAsia="仿宋_GB2312"/>
                <w:b/>
                <w:bCs/>
                <w:color w:val="AFABAB" w:themeColor="background2" w:themeShade="BF"/>
                <w:kern w:val="0"/>
                <w:sz w:val="28"/>
                <w:szCs w:val="28"/>
              </w:rPr>
            </w:pPr>
            <w:r>
              <w:rPr>
                <w:rFonts w:hint="eastAsia" w:ascii="仿宋_GB2312" w:hAnsi="仿宋_GB2312" w:eastAsia="仿宋_GB2312" w:cs="仿宋_GB2312"/>
                <w:sz w:val="32"/>
                <w:szCs w:val="32"/>
                <w:lang w:val="en-US" w:eastAsia="zh-CN"/>
              </w:rPr>
              <w:t>投弹式高层建筑干粉消防车是一种针对现代城市环境下，高层、超高层建筑物或其他危险场所应急救援的特种消防装备。可单车独立实施消防作业，利用了低特征“绿色”发射、目标精确探测和自动控制等技术。通过发射灭火弹的方式，将灭火药剂远距离精确投送至火场，达到快速有效压制火势，并具备“一键式”展开和撤收的便利操作。打破了常规举高类消防车所存在的“够不着”、“进不去”、“展不开”等局限，为超高层建筑火灾消防救援提供了一种有效手段，填补国内外该技术领域的空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b/>
                <w:bCs/>
                <w:kern w:val="0"/>
                <w:sz w:val="28"/>
                <w:szCs w:val="28"/>
              </w:rPr>
            </w:pPr>
            <w:r>
              <w:rPr>
                <w:rFonts w:hint="eastAsia" w:ascii="仿宋_GB2312" w:eastAsia="仿宋_GB2312"/>
                <w:kern w:val="0"/>
                <w:sz w:val="28"/>
                <w:szCs w:val="28"/>
              </w:rPr>
              <w:t>技术亮点（1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1.安全高效灭火弹技术。灭火弹飞行及喷酒过程无破片，灭火弹一旦偏离整车轨迹，可自动打开降落伞缓慢降落，保障城市环境下使用安全。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2.低特征绿色发射技术。发射过程噪声小于120d8、无火焰，适合城市环境条件使用。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3.高集成模块化总体技术。功能模块离度集成，单车快速移动部署、展开，独立完成消防作业。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4.远距离精确投送技术。精确的火源定位、弹道解算及发射控制，以实现灭火弹的精确命中。</w:t>
            </w: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应用前景（1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该项目技术产品在高层、超高层建筑物或其他危险场所发生火灾，应急救援时使用。主要适用于消防部门、大型石油化工企业、港口仓储、核电站等高危场所，适合城市环境条件使用。</w:t>
            </w:r>
          </w:p>
          <w:p>
            <w:pPr>
              <w:ind w:firstLine="562" w:firstLineChars="200"/>
              <w:rPr>
                <w:rFonts w:ascii="仿宋_GB2312" w:eastAsia="仿宋_GB2312"/>
                <w:b/>
                <w:bCs/>
                <w:color w:val="AFABAB" w:themeColor="background2" w:themeShade="BF"/>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jc w:val="left"/>
              <w:rPr>
                <w:rFonts w:ascii="仿宋_GB2312" w:eastAsia="仿宋_GB2312"/>
                <w:kern w:val="0"/>
                <w:sz w:val="28"/>
                <w:szCs w:val="28"/>
              </w:rPr>
            </w:pPr>
            <w:r>
              <w:rPr>
                <w:rFonts w:hint="eastAsia" w:ascii="仿宋_GB2312" w:eastAsia="仿宋_GB2312"/>
                <w:kern w:val="0"/>
                <w:sz w:val="28"/>
                <w:szCs w:val="28"/>
              </w:rPr>
              <w:t>团队概括（1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ascii="仿宋_GB2312" w:hAnsi="仿宋_GB2312" w:eastAsia="仿宋_GB2312" w:cs="Times New Roman (正文 CS 字体)"/>
                <w:color w:val="7F7F7F"/>
                <w:kern w:val="2"/>
                <w:sz w:val="28"/>
                <w:szCs w:val="28"/>
              </w:rPr>
            </w:pPr>
            <w:r>
              <w:rPr>
                <w:rFonts w:hint="eastAsia" w:ascii="仿宋_GB2312" w:hAnsi="仿宋_GB2312" w:eastAsia="仿宋_GB2312" w:cs="仿宋_GB2312"/>
                <w:sz w:val="32"/>
                <w:szCs w:val="32"/>
                <w:lang w:val="en-US" w:eastAsia="zh-CN"/>
              </w:rPr>
              <w:t>中国航天科工集团第二研究院二〇六所专业技术能力、研发能力和生产能力国内同行业领先，多项产品成为陆、海、空、二炮的主战装备，研制生产的武器装备先后参加了建国50周年、60周年以及纪念中国人民抗日战争暨世界反法西斯战争胜利70周年阅兵任务。二〇六所是国家教委认定的兵器发射理论与技术专业的硕士学位授予点。现有职工1300余人，其中研究员及高级工程师近300人，博士及硕士近500人。秉承“大防务、大安全、大融合、大发展”的理念，二〇六所大力实施军民融合发展战略，挺进载人航天和国民经济主战场，在空间工程、智慧城市以及安保与应急救援装备等领域取得重大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rPr>
                <w:rFonts w:ascii="仿宋_GB2312" w:eastAsia="仿宋_GB2312"/>
                <w:kern w:val="0"/>
                <w:sz w:val="28"/>
                <w:szCs w:val="28"/>
              </w:rPr>
            </w:pPr>
            <w:r>
              <w:rPr>
                <w:rFonts w:hint="eastAsia" w:ascii="仿宋_GB2312" w:eastAsia="仿宋_GB2312"/>
                <w:kern w:val="0"/>
                <w:sz w:val="28"/>
                <w:szCs w:val="28"/>
              </w:rPr>
              <w:t>产生的效益（1</w:t>
            </w:r>
            <w:r>
              <w:rPr>
                <w:rFonts w:ascii="仿宋_GB2312" w:eastAsia="仿宋_GB2312"/>
                <w:kern w:val="0"/>
                <w:sz w:val="28"/>
                <w:szCs w:val="28"/>
              </w:rPr>
              <w:t>000</w:t>
            </w:r>
            <w:r>
              <w:rPr>
                <w:rFonts w:hint="eastAsia" w:ascii="仿宋_GB2312" w:eastAsia="仿宋_GB2312"/>
                <w:kern w:val="0"/>
                <w:sz w:val="28"/>
                <w:szCs w:val="28"/>
              </w:rPr>
              <w:t>字以内）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该投弹式高层建筑干粉消防车最大外形尺寸（长×宽×高）8m×2.6m×3.3m，最大整车重量16t，系统展开时间   3min，适用高度100m-300m，命中精度为300m高度目标命中精度CEP3，整车载弹量24发，适用火灾类型包括A类、B类、C类火灾。可以解决超高层建筑火灾消防救援难题，对保护人民群众生命及财产安全具有重要作用，具有很大的社会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vAlign w:val="center"/>
          </w:tcPr>
          <w:p>
            <w:pPr>
              <w:rPr>
                <w:rFonts w:ascii="仿宋_GB2312" w:eastAsia="仿宋_GB2312"/>
                <w:kern w:val="0"/>
                <w:sz w:val="28"/>
                <w:szCs w:val="28"/>
              </w:rPr>
            </w:pPr>
            <w:r>
              <w:rPr>
                <w:rFonts w:hint="eastAsia" w:ascii="仿宋_GB2312" w:eastAsia="仿宋_GB2312"/>
                <w:kern w:val="0"/>
                <w:sz w:val="28"/>
                <w:szCs w:val="28"/>
              </w:rPr>
              <w:t>转化方式（1</w:t>
            </w:r>
            <w:r>
              <w:rPr>
                <w:rFonts w:ascii="仿宋_GB2312" w:eastAsia="仿宋_GB2312"/>
                <w:kern w:val="0"/>
                <w:sz w:val="28"/>
                <w:szCs w:val="28"/>
              </w:rPr>
              <w:t>000</w:t>
            </w:r>
            <w:r>
              <w:rPr>
                <w:rFonts w:hint="eastAsia" w:ascii="仿宋_GB2312" w:eastAsia="仿宋_GB2312"/>
                <w:kern w:val="0"/>
                <w:sz w:val="28"/>
                <w:szCs w:val="28"/>
              </w:rPr>
              <w:t>以内）</w:t>
            </w:r>
            <w:r>
              <w:rPr>
                <w:rFonts w:hint="eastAsia" w:ascii="仿宋_GB2312" w:hAnsi="宋体" w:eastAsia="仿宋_GB2312"/>
                <w:color w:val="C00000"/>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2"/>
          </w:tcPr>
          <w:p>
            <w:pPr>
              <w:ind w:firstLine="64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该项目技术成熟，已经研制出成套投弹式高层建筑干粉消防车，获国家公安部颁发的“消防产品技木鉴定”证书，参加了北京市反恐防爆综合演练、参加9.3阅兵战备执勤任务等，批产交付北京</w:t>
            </w:r>
            <w:bookmarkStart w:id="0" w:name="_GoBack"/>
            <w:bookmarkEnd w:id="0"/>
            <w:r>
              <w:rPr>
                <w:rFonts w:hint="eastAsia" w:ascii="仿宋_GB2312" w:hAnsi="仿宋_GB2312" w:eastAsia="仿宋_GB2312" w:cs="仿宋_GB2312"/>
                <w:sz w:val="32"/>
                <w:szCs w:val="32"/>
                <w:lang w:val="en-US" w:eastAsia="zh-CN"/>
              </w:rPr>
              <w:t>、山东、深圳等地整套正式产品订单。该项目可接受产品订单订购，进行产品交付并指导使用，还可以与相关生产企业合作，进行技术转让或授权使用，合作生产投弹式高层建筑干粉消防车。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1" w:type="dxa"/>
          </w:tcPr>
          <w:p>
            <w:pPr>
              <w:jc w:val="left"/>
              <w:rPr>
                <w:rFonts w:ascii="仿宋_GB2312" w:eastAsia="仿宋_GB2312"/>
                <w:kern w:val="0"/>
                <w:sz w:val="28"/>
                <w:szCs w:val="28"/>
              </w:rPr>
            </w:pPr>
            <w:r>
              <w:rPr>
                <w:rFonts w:hint="eastAsia" w:ascii="仿宋_GB2312" w:eastAsia="仿宋_GB2312"/>
                <w:kern w:val="0"/>
                <w:sz w:val="28"/>
                <w:szCs w:val="28"/>
              </w:rPr>
              <w:t>相关证明文件</w:t>
            </w:r>
          </w:p>
        </w:tc>
        <w:tc>
          <w:tcPr>
            <w:tcW w:w="4615" w:type="dxa"/>
          </w:tcPr>
          <w:p>
            <w:pPr>
              <w:rPr>
                <w:rFonts w:ascii="仿宋_GB2312" w:eastAsia="仿宋_GB2312"/>
                <w:kern w:val="0"/>
                <w:sz w:val="28"/>
                <w:szCs w:val="28"/>
              </w:rPr>
            </w:pP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DF</w:t>
            </w:r>
            <w:r>
              <w:rPr>
                <w:rFonts w:hint="eastAsia" w:ascii="仿宋_GB2312" w:hAnsi="仿宋_GB2312" w:eastAsia="仿宋_GB2312" w:cs="Times New Roman (正文 CS 字体)"/>
                <w:color w:val="7F7F7F"/>
                <w:kern w:val="2"/>
                <w:sz w:val="28"/>
                <w:szCs w:val="28"/>
              </w:rPr>
              <w:t>、</w:t>
            </w:r>
            <w:r>
              <w:rPr>
                <w:rFonts w:ascii="仿宋_GB2312" w:hAnsi="仿宋_GB2312" w:eastAsia="仿宋_GB2312" w:cs="Times New Roman (正文 CS 字体)"/>
                <w:color w:val="7F7F7F"/>
                <w:kern w:val="2"/>
                <w:sz w:val="28"/>
                <w:szCs w:val="28"/>
              </w:rPr>
              <w:t>WORD</w:t>
            </w:r>
            <w:r>
              <w:rPr>
                <w:rFonts w:hint="eastAsia" w:ascii="仿宋_GB2312" w:hAnsi="仿宋_GB2312" w:eastAsia="仿宋_GB2312" w:cs="Times New Roman (正文 CS 字体)"/>
                <w:color w:val="7F7F7F"/>
                <w:kern w:val="2"/>
                <w:sz w:val="28"/>
                <w:szCs w:val="28"/>
              </w:rPr>
              <w:t>、P</w:t>
            </w:r>
            <w:r>
              <w:rPr>
                <w:rFonts w:ascii="仿宋_GB2312" w:hAnsi="仿宋_GB2312" w:eastAsia="仿宋_GB2312" w:cs="Times New Roman (正文 CS 字体)"/>
                <w:color w:val="7F7F7F"/>
                <w:kern w:val="2"/>
                <w:sz w:val="28"/>
                <w:szCs w:val="28"/>
              </w:rPr>
              <w:t>PT</w:t>
            </w:r>
            <w:r>
              <w:rPr>
                <w:rFonts w:hint="eastAsia" w:ascii="仿宋_GB2312" w:hAnsi="仿宋_GB2312" w:eastAsia="仿宋_GB2312" w:cs="Times New Roman (正文 CS 字体)"/>
                <w:color w:val="7F7F7F"/>
                <w:kern w:val="2"/>
                <w:sz w:val="28"/>
                <w:szCs w:val="28"/>
              </w:rPr>
              <w:t>格式，限1个。</w:t>
            </w:r>
          </w:p>
        </w:tc>
      </w:tr>
    </w:tbl>
    <w:p>
      <w:pPr>
        <w:rPr>
          <w:rFonts w:ascii="仿宋_GB2312" w:eastAsia="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31316F"/>
    <w:multiLevelType w:val="multilevel"/>
    <w:tmpl w:val="4131316F"/>
    <w:lvl w:ilvl="0" w:tentative="0">
      <w:start w:val="1"/>
      <w:numFmt w:val="decimal"/>
      <w:pStyle w:val="3"/>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zMDUwNTY5NGRlMTc1MGZkMzc4Yzk5ZDY3YmFmNmMifQ=="/>
  </w:docVars>
  <w:rsids>
    <w:rsidRoot w:val="00CF138A"/>
    <w:rsid w:val="003D490B"/>
    <w:rsid w:val="003F1FC2"/>
    <w:rsid w:val="00475F77"/>
    <w:rsid w:val="004D5599"/>
    <w:rsid w:val="00792E7D"/>
    <w:rsid w:val="009A1068"/>
    <w:rsid w:val="009D1247"/>
    <w:rsid w:val="009E6C1D"/>
    <w:rsid w:val="00A51171"/>
    <w:rsid w:val="00AD03CC"/>
    <w:rsid w:val="00AF2F34"/>
    <w:rsid w:val="00B36CC6"/>
    <w:rsid w:val="00BB4035"/>
    <w:rsid w:val="00CF138A"/>
    <w:rsid w:val="00DA75AB"/>
    <w:rsid w:val="00FD1458"/>
    <w:rsid w:val="00FE5228"/>
    <w:rsid w:val="06945A60"/>
    <w:rsid w:val="537E6AE3"/>
    <w:rsid w:val="6A203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0"/>
    <w:semiHidden/>
    <w:unhideWhenUsed/>
    <w:qFormat/>
    <w:uiPriority w:val="9"/>
    <w:pPr>
      <w:keepNext/>
      <w:keepLines/>
      <w:spacing w:before="260" w:after="260" w:line="416" w:lineRule="auto"/>
      <w:outlineLvl w:val="2"/>
    </w:pPr>
    <w:rPr>
      <w:rFonts w:eastAsia="仿宋_GB2312"/>
      <w:bCs/>
      <w:sz w:val="32"/>
      <w:szCs w:val="32"/>
    </w:rPr>
  </w:style>
  <w:style w:type="paragraph" w:styleId="3">
    <w:name w:val="heading 4"/>
    <w:basedOn w:val="1"/>
    <w:next w:val="1"/>
    <w:link w:val="9"/>
    <w:unhideWhenUsed/>
    <w:qFormat/>
    <w:uiPriority w:val="9"/>
    <w:pPr>
      <w:keepNext/>
      <w:keepLines/>
      <w:numPr>
        <w:ilvl w:val="0"/>
        <w:numId w:val="1"/>
      </w:numPr>
      <w:spacing w:before="280" w:after="290" w:line="377" w:lineRule="auto"/>
      <w:ind w:left="200" w:leftChars="200"/>
      <w:outlineLvl w:val="3"/>
    </w:pPr>
    <w:rPr>
      <w:rFonts w:ascii="仿宋_GB2312" w:eastAsia="仿宋_GB2312" w:hAnsiTheme="majorHAnsi" w:cstheme="majorBidi"/>
      <w:sz w:val="32"/>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4 字符"/>
    <w:basedOn w:val="8"/>
    <w:link w:val="3"/>
    <w:qFormat/>
    <w:uiPriority w:val="9"/>
    <w:rPr>
      <w:rFonts w:ascii="仿宋_GB2312" w:eastAsia="仿宋_GB2312" w:hAnsiTheme="majorHAnsi" w:cstheme="majorBidi"/>
      <w:sz w:val="32"/>
      <w:szCs w:val="28"/>
    </w:rPr>
  </w:style>
  <w:style w:type="character" w:customStyle="1" w:styleId="10">
    <w:name w:val="标题 3 字符"/>
    <w:basedOn w:val="8"/>
    <w:link w:val="2"/>
    <w:semiHidden/>
    <w:qFormat/>
    <w:uiPriority w:val="9"/>
    <w:rPr>
      <w:rFonts w:eastAsia="仿宋_GB2312"/>
      <w:bCs/>
      <w:sz w:val="32"/>
      <w:szCs w:val="32"/>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110</Words>
  <Characters>135</Characters>
  <Lines>4</Lines>
  <Paragraphs>1</Paragraphs>
  <TotalTime>0</TotalTime>
  <ScaleCrop>false</ScaleCrop>
  <LinksUpToDate>false</LinksUpToDate>
  <CharactersWithSpaces>135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2022-06-06T09:32:00Z</dcterms:created>
  <dc:creator>李 烁</dc:creator>
  <cp:lastModifiedBy>王新美</cp:lastModifiedBy>
  <dcterms:modified xsi:type="dcterms:W3CDTF">2022-10-28T07:46:17Z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9EBAE679083F4DD384DB0D414897CE3C</vt:lpwstr>
  </property>
</Properties>
</file>