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r>
        <w:rPr>
          <w:noProof/>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243840</wp:posOffset>
            </wp:positionV>
            <wp:extent cx="7559040" cy="1313815"/>
            <wp:effectExtent l="0" t="0" r="3810" b="635"/>
            <wp:wrapNone/>
            <wp:docPr id="1" name="图片 22" descr="C:\Users\Qimeng\Desktop\3333.png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descr="C:\Users\Qimeng\Desktop\3333.png3333"/>
                    <pic:cNvPicPr>
                      <a:picLocks noChangeAspect="1"/>
                    </pic:cNvPicPr>
                  </pic:nvPicPr>
                  <pic:blipFill>
                    <a:blip xmlns:r="http://schemas.openxmlformats.org/officeDocument/2006/relationships" r:embed="rId6"/>
                    <a:stretch>
                      <a:fillRect/>
                    </a:stretch>
                  </pic:blipFill>
                  <pic:spPr>
                    <a:xfrm>
                      <a:off x="0" y="0"/>
                      <a:ext cx="7559040" cy="1313815"/>
                    </a:xfrm>
                    <a:prstGeom prst="rect">
                      <a:avLst/>
                    </a:prstGeom>
                    <a:noFill/>
                    <a:ln w="9525">
                      <a:noFill/>
                    </a:ln>
                  </pic:spPr>
                </pic:pic>
              </a:graphicData>
            </a:graphic>
          </wp:anchor>
        </w:drawing>
      </w: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0F1B27" w:rsidRPr="000F1B27" w:rsidP="000F1B27">
      <w:pPr>
        <w:tabs>
          <w:tab w:val="left" w:pos="2400"/>
        </w:tabs>
        <w:jc w:val="center"/>
        <w:rPr>
          <w:color w:val="000000"/>
          <w:sz w:val="48"/>
          <w:szCs w:val="48"/>
        </w:rPr>
      </w:pPr>
      <w:bookmarkStart w:id="0" w:name="_GoBack"/>
      <w:r w:rsidRPr="000F1B27">
        <w:rPr>
          <w:noProof/>
          <w:color w:val="000000"/>
          <w:sz w:val="48"/>
          <w:szCs w:val="48"/>
        </w:rPr>
        <w:t>盲道检测装置</w:t>
      </w:r>
    </w:p>
    <w:p w:rsidR="000F1B27">
      <w:pPr>
        <w:tabs>
          <w:tab w:val="left" w:pos="2400"/>
        </w:tabs>
        <w:rPr>
          <w:rFonts w:ascii="宋体" w:hAnsi="宋体" w:cs="宋体" w:hint="eastAsia"/>
          <w:color w:val="000000"/>
          <w:sz w:val="22"/>
          <w:szCs w:val="22"/>
        </w:rPr>
      </w:pPr>
      <w:bookmarkEnd w:id="0"/>
    </w:p>
    <w:p w:rsidR="000F1B27">
      <w:pPr>
        <w:tabs>
          <w:tab w:val="left" w:pos="2400"/>
        </w:tabs>
        <w:rPr>
          <w:rFonts w:ascii="宋体" w:hAnsi="宋体" w:cs="宋体"/>
          <w:color w:val="000000"/>
          <w:sz w:val="22"/>
          <w:szCs w:val="22"/>
        </w:rPr>
      </w:pPr>
    </w:p>
    <w:p w:rsidR="000F1B27">
      <w:pPr>
        <w:tabs>
          <w:tab w:val="left" w:pos="2400"/>
        </w:tabs>
        <w:rPr>
          <w:rFonts w:ascii="宋体" w:hAnsi="宋体" w:cs="宋体"/>
          <w:color w:val="000000"/>
          <w:sz w:val="22"/>
          <w:szCs w:val="22"/>
        </w:rPr>
      </w:pPr>
    </w:p>
    <w:p w:rsidR="002876FB">
      <w:pPr>
        <w:tabs>
          <w:tab w:val="left" w:pos="2400"/>
        </w:tabs>
        <w:rPr>
          <w:rFonts w:hint="eastAsia"/>
        </w:rPr>
      </w:pPr>
    </w:p>
    <w:tbl>
      <w:tblPr>
        <w:tblStyle w:val="TableGrid"/>
        <w:tblW w:w="9354" w:type="dxa"/>
        <w:tblLayout w:type="fixed"/>
        <w:tblLook w:val="04A0"/>
      </w:tblPr>
      <w:tblGrid>
        <w:gridCol w:w="2476"/>
        <w:gridCol w:w="6878"/>
      </w:tblGrid>
      <w:tr>
        <w:tblPrEx>
          <w:tblW w:w="9354" w:type="dxa"/>
          <w:tblLayout w:type="fixed"/>
          <w:tblLook w:val="04A0"/>
        </w:tblPrEx>
        <w:trPr>
          <w:trHeight w:val="534"/>
        </w:trPr>
        <w:tc>
          <w:tcPr>
            <w:tcW w:w="2476" w:type="dxa"/>
            <w:tcBorders>
              <w:top w:val="nil"/>
              <w:left w:val="nil"/>
              <w:bottom w:val="nil"/>
              <w:right w:val="nil"/>
            </w:tcBorders>
          </w:tcPr>
          <w:p w:rsidR="002876FB">
            <w:pPr>
              <w:tabs>
                <w:tab w:val="left" w:pos="2400"/>
              </w:tabs>
              <w:spacing w:line="480" w:lineRule="auto"/>
              <w:jc w:val="right"/>
            </w:pPr>
            <w:r>
              <w:rPr>
                <w:rFonts w:hint="eastAsia"/>
              </w:rPr>
              <w:t>申请号：</w:t>
            </w:r>
          </w:p>
        </w:tc>
        <w:tc>
          <w:tcPr>
            <w:tcW w:w="6878" w:type="dxa"/>
            <w:tcBorders>
              <w:top w:val="nil"/>
              <w:left w:val="nil"/>
              <w:bottom w:val="nil"/>
              <w:right w:val="nil"/>
            </w:tcBorders>
          </w:tcPr>
          <w:p w:rsidR="002876FB">
            <w:pPr>
              <w:tabs>
                <w:tab w:val="left" w:pos="2400"/>
              </w:tabs>
              <w:spacing w:line="480" w:lineRule="auto"/>
            </w:pPr>
            <w:r>
              <w:t>CN201822278615.7</w:t>
            </w:r>
            <w:r>
              <w:t xml:space="preserve"> </w:t>
            </w:r>
          </w:p>
        </w:tc>
      </w:tr>
      <w:tr>
        <w:tblPrEx>
          <w:tblW w:w="9354" w:type="dxa"/>
          <w:tblLayout w:type="fixed"/>
          <w:tblLook w:val="04A0"/>
        </w:tblPrEx>
        <w:trPr>
          <w:trHeight w:val="474"/>
        </w:trPr>
        <w:tc>
          <w:tcPr>
            <w:tcW w:w="2476" w:type="dxa"/>
            <w:tcBorders>
              <w:top w:val="nil"/>
              <w:left w:val="nil"/>
              <w:bottom w:val="nil"/>
              <w:right w:val="nil"/>
            </w:tcBorders>
          </w:tcPr>
          <w:p w:rsidR="002876FB">
            <w:pPr>
              <w:tabs>
                <w:tab w:val="left" w:pos="2400"/>
              </w:tabs>
              <w:spacing w:line="480" w:lineRule="auto"/>
              <w:jc w:val="right"/>
            </w:pPr>
            <w:r>
              <w:rPr>
                <w:rFonts w:hint="eastAsia"/>
              </w:rPr>
              <w:t>申请日：</w:t>
            </w:r>
          </w:p>
        </w:tc>
        <w:tc>
          <w:tcPr>
            <w:tcW w:w="6878" w:type="dxa"/>
            <w:tcBorders>
              <w:top w:val="nil"/>
              <w:left w:val="nil"/>
              <w:bottom w:val="nil"/>
              <w:right w:val="nil"/>
            </w:tcBorders>
          </w:tcPr>
          <w:p w:rsidR="002876FB">
            <w:pPr>
              <w:tabs>
                <w:tab w:val="left" w:pos="2400"/>
              </w:tabs>
              <w:spacing w:line="480" w:lineRule="auto"/>
            </w:pPr>
            <w:r>
              <w:t>20181229</w:t>
            </w:r>
          </w:p>
        </w:tc>
      </w:tr>
      <w:tr>
        <w:tblPrEx>
          <w:tblW w:w="9354" w:type="dxa"/>
          <w:tblLayout w:type="fixed"/>
          <w:tblLook w:val="04A0"/>
        </w:tblPrEx>
        <w:trPr>
          <w:trHeight w:val="474"/>
        </w:trPr>
        <w:tc>
          <w:tcPr>
            <w:tcW w:w="2476" w:type="dxa"/>
            <w:tcBorders>
              <w:top w:val="nil"/>
              <w:left w:val="nil"/>
              <w:bottom w:val="nil"/>
              <w:right w:val="nil"/>
            </w:tcBorders>
          </w:tcPr>
          <w:p w:rsidR="002876FB">
            <w:pPr>
              <w:tabs>
                <w:tab w:val="left" w:pos="2400"/>
              </w:tabs>
              <w:spacing w:line="480" w:lineRule="auto"/>
              <w:jc w:val="right"/>
            </w:pPr>
            <w:r>
              <w:rPr>
                <w:rFonts w:hint="eastAsia"/>
              </w:rPr>
              <w:t>申请（专利权）人：</w:t>
            </w:r>
          </w:p>
        </w:tc>
        <w:tc>
          <w:tcPr>
            <w:tcW w:w="6878" w:type="dxa"/>
            <w:tcBorders>
              <w:top w:val="nil"/>
              <w:left w:val="nil"/>
              <w:bottom w:val="nil"/>
              <w:right w:val="nil"/>
            </w:tcBorders>
          </w:tcPr>
          <w:p w:rsidR="002876FB">
            <w:pPr>
              <w:tabs>
                <w:tab w:val="left" w:pos="2400"/>
              </w:tabs>
              <w:spacing w:line="480" w:lineRule="auto"/>
            </w:pPr>
            <w:r>
              <w:t>[深圳大学]</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地址：</w:t>
            </w:r>
          </w:p>
        </w:tc>
        <w:tc>
          <w:tcPr>
            <w:tcW w:w="6878" w:type="dxa"/>
            <w:tcBorders>
              <w:top w:val="nil"/>
              <w:left w:val="nil"/>
              <w:bottom w:val="nil"/>
              <w:right w:val="nil"/>
            </w:tcBorders>
          </w:tcPr>
          <w:p w:rsidR="002876FB">
            <w:pPr>
              <w:tabs>
                <w:tab w:val="left" w:pos="2400"/>
              </w:tabs>
              <w:spacing w:line="480" w:lineRule="auto"/>
            </w:pPr>
            <w:r>
              <w:t>广东省深圳市南山区深圳大学南区光电与物理楼817室</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发明人：</w:t>
            </w:r>
          </w:p>
        </w:tc>
        <w:tc>
          <w:tcPr>
            <w:tcW w:w="6878" w:type="dxa"/>
            <w:tcBorders>
              <w:top w:val="nil"/>
              <w:left w:val="nil"/>
              <w:bottom w:val="nil"/>
              <w:right w:val="nil"/>
            </w:tcBorders>
          </w:tcPr>
          <w:p w:rsidR="002876FB">
            <w:pPr>
              <w:spacing w:line="480" w:lineRule="auto"/>
            </w:pPr>
            <w:r>
              <w:t>[丁建华, 李春莹, 孟建民, 杨怡楠, 林正豪, 唐海达]</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主分类号：</w:t>
            </w:r>
          </w:p>
        </w:tc>
        <w:tc>
          <w:tcPr>
            <w:tcW w:w="6878" w:type="dxa"/>
            <w:tcBorders>
              <w:top w:val="nil"/>
              <w:left w:val="nil"/>
              <w:bottom w:val="nil"/>
              <w:right w:val="nil"/>
            </w:tcBorders>
          </w:tcPr>
          <w:p w:rsidR="002876FB">
            <w:pPr>
              <w:tabs>
                <w:tab w:val="left" w:pos="2400"/>
              </w:tabs>
              <w:spacing w:line="480" w:lineRule="auto"/>
            </w:pPr>
            <w:r>
              <w:t>G01N33/24</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公开（公告）号：</w:t>
            </w:r>
          </w:p>
        </w:tc>
        <w:tc>
          <w:tcPr>
            <w:tcW w:w="6878" w:type="dxa"/>
            <w:tcBorders>
              <w:top w:val="nil"/>
              <w:left w:val="nil"/>
              <w:bottom w:val="nil"/>
              <w:right w:val="nil"/>
            </w:tcBorders>
          </w:tcPr>
          <w:p w:rsidR="002876FB">
            <w:pPr>
              <w:tabs>
                <w:tab w:val="left" w:pos="2400"/>
              </w:tabs>
              <w:spacing w:line="480" w:lineRule="auto"/>
            </w:pPr>
            <w:r>
              <w:t>CN209400526U</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公开（公告）日：</w:t>
            </w:r>
          </w:p>
        </w:tc>
        <w:tc>
          <w:tcPr>
            <w:tcW w:w="6878" w:type="dxa"/>
            <w:tcBorders>
              <w:top w:val="nil"/>
              <w:left w:val="nil"/>
              <w:bottom w:val="nil"/>
              <w:right w:val="nil"/>
            </w:tcBorders>
          </w:tcPr>
          <w:p w:rsidR="002876FB">
            <w:pPr>
              <w:tabs>
                <w:tab w:val="left" w:pos="2400"/>
              </w:tabs>
              <w:spacing w:line="480" w:lineRule="auto"/>
            </w:pPr>
            <w:r>
              <w:t>20190917</w:t>
            </w:r>
          </w:p>
        </w:tc>
      </w:tr>
      <w:tr>
        <w:tblPrEx>
          <w:tblW w:w="9354" w:type="dxa"/>
          <w:tblLayout w:type="fixed"/>
          <w:tblLook w:val="04A0"/>
        </w:tblPrEx>
        <w:trPr>
          <w:trHeight w:val="474"/>
        </w:trPr>
        <w:tc>
          <w:tcPr>
            <w:tcW w:w="2476" w:type="dxa"/>
            <w:tcBorders>
              <w:top w:val="nil"/>
              <w:left w:val="nil"/>
              <w:bottom w:val="nil"/>
              <w:right w:val="nil"/>
            </w:tcBorders>
          </w:tcPr>
          <w:p w:rsidR="002876FB">
            <w:pPr>
              <w:spacing w:line="480" w:lineRule="auto"/>
              <w:jc w:val="right"/>
            </w:pPr>
            <w:r>
              <w:rPr>
                <w:rFonts w:hint="eastAsia"/>
              </w:rPr>
              <w:t>代理机构：</w:t>
            </w:r>
          </w:p>
        </w:tc>
        <w:tc>
          <w:tcPr>
            <w:tcW w:w="6878" w:type="dxa"/>
            <w:tcBorders>
              <w:top w:val="nil"/>
              <w:left w:val="nil"/>
              <w:bottom w:val="nil"/>
              <w:right w:val="nil"/>
            </w:tcBorders>
          </w:tcPr>
          <w:p w:rsidR="002876FB">
            <w:pPr>
              <w:tabs>
                <w:tab w:val="left" w:pos="2400"/>
              </w:tabs>
              <w:spacing w:line="480" w:lineRule="auto"/>
            </w:pPr>
            <w:r>
              <w:t>上海思微知识产权代理事务所（普通合伙）</w:t>
            </w:r>
          </w:p>
        </w:tc>
      </w:tr>
      <w:tr>
        <w:tblPrEx>
          <w:tblW w:w="9354" w:type="dxa"/>
          <w:tblLayout w:type="fixed"/>
          <w:tblLook w:val="04A0"/>
        </w:tblPrEx>
        <w:trPr>
          <w:trHeight w:val="491"/>
        </w:trPr>
        <w:tc>
          <w:tcPr>
            <w:tcW w:w="2476" w:type="dxa"/>
            <w:tcBorders>
              <w:top w:val="nil"/>
              <w:left w:val="nil"/>
              <w:bottom w:val="nil"/>
              <w:right w:val="nil"/>
            </w:tcBorders>
          </w:tcPr>
          <w:p w:rsidR="002876FB">
            <w:pPr>
              <w:spacing w:line="480" w:lineRule="auto"/>
              <w:jc w:val="right"/>
            </w:pPr>
            <w:r>
              <w:rPr>
                <w:rFonts w:hint="eastAsia"/>
              </w:rPr>
              <w:t>代理人：</w:t>
            </w:r>
          </w:p>
        </w:tc>
        <w:tc>
          <w:tcPr>
            <w:tcW w:w="6878" w:type="dxa"/>
            <w:tcBorders>
              <w:top w:val="nil"/>
              <w:left w:val="nil"/>
              <w:bottom w:val="nil"/>
              <w:right w:val="nil"/>
            </w:tcBorders>
          </w:tcPr>
          <w:p w:rsidR="002876FB">
            <w:pPr>
              <w:tabs>
                <w:tab w:val="left" w:pos="2400"/>
              </w:tabs>
              <w:spacing w:line="480" w:lineRule="auto"/>
            </w:pPr>
            <w:r>
              <w:t>[沈宗晶]</w:t>
            </w:r>
          </w:p>
        </w:tc>
      </w:tr>
    </w:tbl>
    <w:p w:rsidR="002876FB">
      <w:pPr>
        <w:tabs>
          <w:tab w:val="left" w:pos="2400"/>
        </w:tabs>
      </w:pPr>
      <w:r>
        <w:rPr>
          <w:noProof/>
        </w:rPr>
        <mc:AlternateContent>
          <mc:Choice Requires="wps">
            <w:drawing>
              <wp:anchor distT="0" distB="0" distL="114300" distR="114300" simplePos="0" relativeHeight="251658240" behindDoc="0" locked="0" layoutInCell="1" allowOverlap="1">
                <wp:simplePos x="0" y="0"/>
                <wp:positionH relativeFrom="column">
                  <wp:posOffset>4638675</wp:posOffset>
                </wp:positionH>
                <wp:positionV relativeFrom="paragraph">
                  <wp:posOffset>1431290</wp:posOffset>
                </wp:positionV>
                <wp:extent cx="1914525" cy="342900"/>
                <wp:effectExtent l="0" t="0" r="0" b="0"/>
                <wp:wrapNone/>
                <wp:docPr id="11"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14525" cy="342900"/>
                        </a:xfrm>
                        <a:prstGeom prst="rect">
                          <a:avLst/>
                        </a:prstGeom>
                        <a:noFill/>
                        <a:ln w="15875">
                          <a:noFill/>
                        </a:ln>
                      </wps:spPr>
                      <wps:txbx>
                        <w:txbxContent>
                          <w:p w:rsidR="002876F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wps:txbx>
                      <wps:bodyPr wrap="square" anchor="t" upright="1"/>
                    </wps:wsp>
                  </a:graphicData>
                </a:graphic>
              </wp:anchor>
            </w:drawing>
          </mc:Choice>
          <mc:Fallback>
            <w:pict>
              <v:shapetype id="_x0000_t202" coordsize="21600,21600" o:spt="202" path="m,l,21600r21600,l21600,xe">
                <v:stroke joinstyle="miter"/>
                <v:path gradientshapeok="t" o:connecttype="rect"/>
              </v:shapetype>
              <v:shape id="文本框 18" o:spid="_x0000_s1025" type="#_x0000_t202" style="height:27pt;margin-left:365.25pt;margin-top:112.7pt;mso-wrap-distance-bottom:0;mso-wrap-distance-left:9pt;mso-wrap-distance-right:9pt;mso-wrap-distance-top:0;mso-wrap-style:square;position:absolute;v-text-anchor:top;visibility:visible;width:150.75pt;z-index:251659264" filled="f" stroked="f" strokeweight="1.25pt">
                <v:textbox>
                  <w:txbxContent>
                    <w:p w:rsidR="002876F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v:textbox>
              </v:shape>
            </w:pict>
          </mc:Fallback>
        </mc:AlternateContent>
      </w:r>
      <w:r>
        <w:br w:type="page"/>
      </w:r>
    </w:p>
    <w:tbl>
      <w:tblPr>
        <w:tblW w:w="8522" w:type="dxa"/>
        <w:tblBorders>
          <w:top w:val="single" w:sz="12" w:space="0" w:color="000000"/>
          <w:bottom w:val="single" w:sz="12" w:space="0" w:color="000000"/>
        </w:tblBorders>
        <w:tblLayout w:type="fixed"/>
        <w:tblLook w:val="04A0"/>
      </w:tblPr>
      <w:tblGrid>
        <w:gridCol w:w="2376"/>
        <w:gridCol w:w="3305"/>
        <w:gridCol w:w="2841"/>
      </w:tblGrid>
      <w:tr>
        <w:tblPrEx>
          <w:tblW w:w="8522" w:type="dxa"/>
          <w:tblBorders>
            <w:top w:val="single" w:sz="12" w:space="0" w:color="000000"/>
            <w:bottom w:val="single" w:sz="12" w:space="0" w:color="000000"/>
          </w:tblBorders>
          <w:tblLayout w:type="fixed"/>
          <w:tblLook w:val="04A0"/>
        </w:tblPrEx>
        <w:tc>
          <w:tcPr>
            <w:tcW w:w="8522" w:type="dxa"/>
            <w:gridSpan w:val="3"/>
            <w:tcBorders>
              <w:top w:val="nil"/>
              <w:bottom w:val="nil"/>
              <w:right w:val="nil"/>
            </w:tcBorders>
            <w:shd w:val="clear" w:color="auto" w:fill="auto"/>
          </w:tcPr>
          <w:p w:rsidR="002876FB">
            <w:pPr>
              <w:rPr>
                <w:rFonts w:ascii="宋体" w:hAnsi="宋体" w:cs="宋体"/>
                <w:b/>
                <w:i/>
                <w:iCs/>
                <w:color w:val="000000"/>
                <w:sz w:val="30"/>
              </w:rPr>
            </w:pPr>
            <w:r>
              <w:rPr>
                <w:rFonts w:ascii="宋体" w:hAnsi="宋体" w:cs="宋体"/>
                <w:b/>
                <w:iCs/>
                <w:color w:val="000000"/>
                <w:sz w:val="30"/>
              </w:rPr>
              <w:t>（19）中</w:t>
            </w:r>
            <w:r>
              <w:rPr>
                <w:rFonts w:ascii="宋体" w:hAnsi="宋体" w:cs="宋体" w:hint="eastAsia"/>
                <w:b/>
                <w:iCs/>
                <w:color w:val="000000"/>
                <w:sz w:val="30"/>
              </w:rPr>
              <w:t>华</w:t>
            </w:r>
            <w:r>
              <w:rPr>
                <w:rFonts w:ascii="宋体" w:hAnsi="宋体" w:cs="宋体"/>
                <w:b/>
                <w:iCs/>
                <w:color w:val="000000"/>
                <w:sz w:val="30"/>
              </w:rPr>
              <w:t>人民共和国国家知识产权局</w:t>
            </w:r>
          </w:p>
        </w:tc>
      </w:tr>
      <w:tr>
        <w:tblPrEx>
          <w:tblW w:w="8522" w:type="dxa"/>
          <w:tblLayout w:type="fixed"/>
          <w:tblLook w:val="04A0"/>
        </w:tblPrEx>
        <w:tc>
          <w:tcPr>
            <w:tcW w:w="2376" w:type="dxa"/>
            <w:vMerge w:val="restart"/>
            <w:tcBorders>
              <w:top w:val="nil"/>
              <w:right w:val="nil"/>
            </w:tcBorders>
            <w:shd w:val="clear" w:color="auto" w:fill="auto"/>
          </w:tcPr>
          <w:p w:rsidR="002876FB">
            <w:pPr>
              <w:rPr>
                <w:rFonts w:ascii="宋体" w:hAnsi="宋体" w:cs="宋体"/>
                <w:color w:val="000000"/>
                <w:sz w:val="30"/>
              </w:rPr>
            </w:pPr>
            <w:r>
              <w:rPr>
                <w:rFonts w:ascii="宋体" w:hAnsi="宋体" w:cs="宋体"/>
                <w:noProof/>
                <w:color w:val="000000"/>
                <w:sz w:val="30"/>
              </w:rPr>
              <w:drawing>
                <wp:inline distT="0" distB="0" distL="114300" distR="114300">
                  <wp:extent cx="914400" cy="7620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7"/>
                          <a:stretch>
                            <a:fillRect/>
                          </a:stretch>
                        </pic:blipFill>
                        <pic:spPr>
                          <a:xfrm>
                            <a:off x="0" y="0"/>
                            <a:ext cx="914400" cy="762000"/>
                          </a:xfrm>
                          <a:prstGeom prst="rect">
                            <a:avLst/>
                          </a:prstGeom>
                          <a:noFill/>
                          <a:ln w="9525">
                            <a:noFill/>
                          </a:ln>
                        </pic:spPr>
                      </pic:pic>
                    </a:graphicData>
                  </a:graphic>
                </wp:inline>
              </w:drawing>
            </w:r>
          </w:p>
        </w:tc>
        <w:tc>
          <w:tcPr>
            <w:tcW w:w="3305" w:type="dxa"/>
            <w:tcBorders>
              <w:top w:val="nil"/>
              <w:left w:val="nil"/>
            </w:tcBorders>
            <w:shd w:val="clear" w:color="auto" w:fill="auto"/>
          </w:tcPr>
          <w:p w:rsidR="002876FB">
            <w:pPr>
              <w:rPr>
                <w:rFonts w:ascii="宋体" w:hAnsi="宋体" w:cs="宋体"/>
                <w:color w:val="000000"/>
                <w:sz w:val="30"/>
              </w:rPr>
            </w:pPr>
          </w:p>
        </w:tc>
        <w:tc>
          <w:tcPr>
            <w:tcW w:w="2841" w:type="dxa"/>
            <w:tcBorders>
              <w:top w:val="nil"/>
            </w:tcBorders>
            <w:shd w:val="clear" w:color="auto" w:fill="auto"/>
          </w:tcPr>
          <w:p w:rsidR="002876FB">
            <w:pPr>
              <w:jc w:val="center"/>
              <w:rPr>
                <w:rFonts w:ascii="宋体" w:hAnsi="宋体" w:cs="宋体"/>
                <w:color w:val="000000"/>
                <w:sz w:val="30"/>
              </w:rPr>
            </w:pPr>
          </w:p>
        </w:tc>
      </w:tr>
      <w:tr>
        <w:tblPrEx>
          <w:tblW w:w="8522" w:type="dxa"/>
          <w:tblLayout w:type="fixed"/>
          <w:tblLook w:val="04A0"/>
        </w:tblPrEx>
        <w:tc>
          <w:tcPr>
            <w:tcW w:w="2376" w:type="dxa"/>
            <w:vMerge/>
            <w:tcBorders>
              <w:right w:val="nil"/>
            </w:tcBorders>
            <w:shd w:val="clear" w:color="auto" w:fill="auto"/>
          </w:tcPr>
          <w:p w:rsidR="002876FB">
            <w:pPr>
              <w:rPr>
                <w:rFonts w:ascii="宋体" w:hAnsi="宋体" w:cs="宋体"/>
                <w:color w:val="000000"/>
                <w:sz w:val="30"/>
              </w:rPr>
            </w:pPr>
          </w:p>
        </w:tc>
        <w:tc>
          <w:tcPr>
            <w:tcW w:w="6146" w:type="dxa"/>
            <w:gridSpan w:val="2"/>
            <w:tcBorders>
              <w:left w:val="nil"/>
            </w:tcBorders>
            <w:shd w:val="clear" w:color="auto" w:fill="auto"/>
          </w:tcPr>
          <w:p w:rsidR="002876FB">
            <w:pPr>
              <w:rPr>
                <w:rFonts w:ascii="宋体" w:hAnsi="宋体" w:cs="宋体"/>
                <w:b/>
                <w:color w:val="000000"/>
                <w:sz w:val="30"/>
              </w:rPr>
            </w:pPr>
            <w:r>
              <w:rPr>
                <w:rFonts w:ascii="宋体" w:hAnsi="宋体" w:cs="宋体"/>
                <w:b/>
                <w:color w:val="000000"/>
                <w:sz w:val="30"/>
              </w:rPr>
              <w:t>（12）实用新型专利</w:t>
            </w:r>
          </w:p>
        </w:tc>
      </w:tr>
      <w:tr>
        <w:tblPrEx>
          <w:tblW w:w="8522" w:type="dxa"/>
          <w:tblLayout w:type="fixed"/>
          <w:tblLook w:val="04A0"/>
        </w:tblPrEx>
        <w:tc>
          <w:tcPr>
            <w:tcW w:w="8522" w:type="dxa"/>
            <w:gridSpan w:val="3"/>
            <w:tcBorders>
              <w:right w:val="nil"/>
            </w:tcBorders>
            <w:shd w:val="clear" w:color="auto" w:fill="auto"/>
          </w:tcPr>
          <w:p w:rsidR="002876FB">
            <w:pPr>
              <w:jc w:val="right"/>
              <w:rPr>
                <w:rFonts w:ascii="宋体" w:hAnsi="宋体" w:cs="宋体"/>
                <w:color w:val="000000"/>
                <w:sz w:val="30"/>
              </w:rPr>
            </w:pPr>
            <w:r>
              <w:rPr>
                <w:rFonts w:ascii="宋体" w:hAnsi="宋体" w:cs="宋体"/>
                <w:b/>
                <w:color w:val="000000"/>
                <w:sz w:val="22"/>
              </w:rPr>
              <w:t>（10）授权公告号</w:t>
            </w:r>
            <w:r>
              <w:rPr>
                <w:rFonts w:ascii="宋体" w:hAnsi="宋体" w:cs="宋体"/>
                <w:color w:val="000000"/>
                <w:sz w:val="22"/>
              </w:rPr>
              <w:t xml:space="preserve"> </w:t>
            </w:r>
            <w:r>
              <w:rPr>
                <w:rFonts w:ascii="宋体" w:hAnsi="宋体" w:cs="宋体"/>
                <w:color w:val="000000"/>
                <w:sz w:val="22"/>
              </w:rPr>
              <w:t>CN209400526U</w:t>
            </w:r>
          </w:p>
          <w:p w:rsidR="002876FB">
            <w:pPr>
              <w:jc w:val="right"/>
              <w:rPr>
                <w:rFonts w:ascii="宋体" w:hAnsi="宋体" w:cs="宋体"/>
                <w:color w:val="000000"/>
                <w:sz w:val="30"/>
              </w:rPr>
            </w:pPr>
            <w:r>
              <w:rPr>
                <w:rFonts w:ascii="宋体" w:hAnsi="宋体" w:cs="宋体"/>
                <w:b/>
                <w:color w:val="000000"/>
                <w:sz w:val="22"/>
              </w:rPr>
              <w:t>（45）授权公告日</w:t>
            </w:r>
            <w:r>
              <w:rPr>
                <w:rFonts w:ascii="宋体" w:hAnsi="宋体" w:cs="宋体"/>
                <w:color w:val="000000"/>
                <w:sz w:val="22"/>
              </w:rPr>
              <w:t xml:space="preserve"> </w:t>
            </w:r>
            <w:r>
              <w:rPr>
                <w:rFonts w:ascii="宋体" w:hAnsi="宋体" w:cs="宋体"/>
                <w:color w:val="000000"/>
                <w:sz w:val="22"/>
              </w:rPr>
              <w:t>20190917</w:t>
            </w:r>
          </w:p>
        </w:tc>
      </w:tr>
    </w:tbl>
    <w:p w:rsidR="002876FB">
      <w:pPr>
        <w:rPr>
          <w:rFonts w:ascii="宋体" w:hAnsi="宋体" w:cs="宋体"/>
          <w:color w:val="000000"/>
          <w:sz w:val="10"/>
          <w:szCs w:val="10"/>
        </w:rPr>
      </w:pPr>
    </w:p>
    <w:tbl>
      <w:tblPr>
        <w:tblW w:w="8522" w:type="dxa"/>
        <w:tblLayout w:type="fixed"/>
        <w:tblLook w:val="04A0"/>
      </w:tblPr>
      <w:tblGrid>
        <w:gridCol w:w="4261"/>
        <w:gridCol w:w="4261"/>
      </w:tblGrid>
      <w:tr>
        <w:tblPrEx>
          <w:tblW w:w="8522" w:type="dxa"/>
          <w:tblLayout w:type="fixed"/>
          <w:tblLook w:val="04A0"/>
        </w:tblPrEx>
        <w:trPr>
          <w:trHeight w:val="4540"/>
        </w:trPr>
        <w:tc>
          <w:tcPr>
            <w:tcW w:w="4261" w:type="dxa"/>
            <w:shd w:val="clear" w:color="auto" w:fill="auto"/>
          </w:tcPr>
          <w:p w:rsidR="002876FB">
            <w:pPr>
              <w:rPr>
                <w:rFonts w:ascii="宋体" w:hAnsi="宋体" w:cs="宋体"/>
                <w:color w:val="000000"/>
                <w:sz w:val="22"/>
              </w:rPr>
            </w:pPr>
            <w:r>
              <w:rPr>
                <w:rFonts w:ascii="宋体" w:hAnsi="宋体" w:cs="宋体"/>
                <w:b/>
                <w:color w:val="000000"/>
                <w:sz w:val="22"/>
              </w:rPr>
              <w:t>（21）申请号</w:t>
            </w:r>
            <w:r>
              <w:rPr>
                <w:rFonts w:ascii="宋体" w:hAnsi="宋体" w:cs="宋体"/>
                <w:color w:val="000000"/>
                <w:sz w:val="22"/>
              </w:rPr>
              <w:t xml:space="preserve"> </w:t>
            </w:r>
            <w:r>
              <w:rPr>
                <w:rFonts w:ascii="宋体" w:hAnsi="宋体" w:cs="宋体"/>
                <w:color w:val="000000"/>
                <w:sz w:val="22"/>
              </w:rPr>
              <w:t>CN201822278615.7</w:t>
            </w:r>
          </w:p>
          <w:p w:rsidR="002876FB">
            <w:pPr>
              <w:rPr>
                <w:rFonts w:ascii="宋体" w:hAnsi="宋体" w:cs="宋体"/>
                <w:color w:val="000000"/>
                <w:sz w:val="22"/>
              </w:rPr>
            </w:pPr>
          </w:p>
          <w:p w:rsidR="002876FB">
            <w:pPr>
              <w:rPr>
                <w:rFonts w:ascii="宋体" w:hAnsi="宋体" w:cs="宋体"/>
                <w:color w:val="000000"/>
                <w:sz w:val="22"/>
              </w:rPr>
            </w:pPr>
            <w:r>
              <w:rPr>
                <w:rFonts w:ascii="宋体" w:hAnsi="宋体" w:cs="宋体"/>
                <w:b/>
                <w:color w:val="000000"/>
                <w:sz w:val="22"/>
              </w:rPr>
              <w:t>（22）申请日</w:t>
            </w:r>
            <w:r>
              <w:rPr>
                <w:rFonts w:ascii="宋体" w:hAnsi="宋体" w:cs="宋体"/>
                <w:color w:val="000000"/>
                <w:sz w:val="22"/>
              </w:rPr>
              <w:t xml:space="preserve"> </w:t>
            </w:r>
            <w:r>
              <w:rPr>
                <w:rFonts w:ascii="宋体" w:hAnsi="宋体" w:cs="宋体"/>
                <w:color w:val="000000"/>
                <w:sz w:val="22"/>
              </w:rPr>
              <w:t>20181229</w:t>
            </w:r>
          </w:p>
          <w:p w:rsidR="002876FB">
            <w:pPr>
              <w:rPr>
                <w:rFonts w:ascii="宋体" w:hAnsi="宋体" w:cs="宋体"/>
                <w:color w:val="000000"/>
                <w:sz w:val="22"/>
              </w:rPr>
            </w:pPr>
          </w:p>
          <w:p w:rsidR="002876FB">
            <w:pPr>
              <w:rPr>
                <w:rFonts w:ascii="宋体" w:hAnsi="宋体" w:cs="宋体"/>
                <w:color w:val="000000"/>
                <w:sz w:val="22"/>
              </w:rPr>
            </w:pPr>
            <w:r>
              <w:rPr>
                <w:rFonts w:ascii="宋体" w:hAnsi="宋体" w:cs="宋体"/>
                <w:b/>
                <w:color w:val="000000"/>
                <w:sz w:val="22"/>
              </w:rPr>
              <w:t>（73）专利权人</w:t>
            </w:r>
            <w:r>
              <w:rPr>
                <w:rFonts w:ascii="宋体" w:hAnsi="宋体" w:cs="宋体"/>
                <w:color w:val="000000"/>
                <w:sz w:val="22"/>
              </w:rPr>
              <w:t xml:space="preserve"> </w:t>
            </w:r>
            <w:r>
              <w:rPr>
                <w:rFonts w:ascii="宋体" w:hAnsi="宋体" w:cs="宋体"/>
                <w:color w:val="000000"/>
                <w:sz w:val="22"/>
              </w:rPr>
              <w:t>[深圳大学]</w:t>
            </w:r>
          </w:p>
          <w:p w:rsidR="002876FB">
            <w:pPr>
              <w:rPr>
                <w:rFonts w:ascii="宋体" w:hAnsi="宋体" w:cs="宋体"/>
                <w:color w:val="000000"/>
                <w:sz w:val="22"/>
              </w:rPr>
            </w:pPr>
          </w:p>
          <w:p w:rsidR="002876FB">
            <w:pPr>
              <w:ind w:firstLine="480" w:firstLineChars="200"/>
              <w:rPr>
                <w:rFonts w:ascii="宋体" w:hAnsi="宋体" w:cs="宋体"/>
                <w:color w:val="000000"/>
                <w:sz w:val="22"/>
              </w:rPr>
            </w:pPr>
            <w:r>
              <w:rPr>
                <w:rFonts w:ascii="宋体" w:hAnsi="宋体" w:cs="宋体"/>
                <w:b/>
                <w:color w:val="000000"/>
                <w:sz w:val="22"/>
              </w:rPr>
              <w:t>地址</w:t>
            </w:r>
            <w:r>
              <w:rPr>
                <w:rFonts w:ascii="宋体" w:hAnsi="宋体" w:cs="宋体"/>
                <w:color w:val="000000"/>
                <w:sz w:val="22"/>
              </w:rPr>
              <w:t xml:space="preserve"> </w:t>
            </w:r>
            <w:r>
              <w:rPr>
                <w:rFonts w:ascii="宋体" w:hAnsi="宋体" w:cs="宋体"/>
                <w:color w:val="000000"/>
                <w:sz w:val="22"/>
              </w:rPr>
              <w:t>广东省深圳市南山区深圳大学南区光电与物理楼817室</w:t>
            </w:r>
          </w:p>
          <w:p w:rsidR="002876FB">
            <w:pPr>
              <w:ind w:firstLine="480" w:firstLineChars="200"/>
              <w:rPr>
                <w:rFonts w:ascii="宋体" w:hAnsi="宋体" w:cs="宋体"/>
                <w:color w:val="000000"/>
                <w:sz w:val="22"/>
              </w:rPr>
            </w:pPr>
          </w:p>
          <w:p w:rsidR="002876FB">
            <w:pPr>
              <w:rPr>
                <w:rFonts w:ascii="宋体" w:hAnsi="宋体" w:cs="宋体"/>
                <w:color w:val="000000"/>
                <w:sz w:val="22"/>
              </w:rPr>
            </w:pPr>
            <w:r>
              <w:rPr>
                <w:rFonts w:ascii="宋体" w:hAnsi="宋体" w:cs="宋体" w:hint="eastAsia"/>
                <w:b/>
                <w:color w:val="000000"/>
                <w:sz w:val="22"/>
              </w:rPr>
              <w:t xml:space="preserve">（72）发明人 </w:t>
            </w:r>
            <w:r>
              <w:rPr>
                <w:rFonts w:ascii="宋体" w:hAnsi="宋体" w:cs="宋体"/>
                <w:color w:val="000000"/>
                <w:sz w:val="22"/>
              </w:rPr>
              <w:t>[丁建华, 李春莹, 孟建民, 杨怡楠, 林正豪, 唐海达]</w:t>
            </w:r>
          </w:p>
          <w:p w:rsidR="002876FB">
            <w:pPr>
              <w:rPr>
                <w:rFonts w:ascii="宋体" w:hAnsi="宋体" w:cs="宋体"/>
                <w:b/>
                <w:color w:val="000000"/>
                <w:sz w:val="22"/>
              </w:rPr>
            </w:pPr>
          </w:p>
          <w:p w:rsidR="002876FB">
            <w:pPr>
              <w:rPr>
                <w:rFonts w:ascii="宋体" w:hAnsi="宋体" w:cs="宋体"/>
                <w:color w:val="000000"/>
                <w:sz w:val="22"/>
              </w:rPr>
            </w:pPr>
            <w:r>
              <w:rPr>
                <w:rFonts w:ascii="宋体" w:hAnsi="宋体" w:cs="宋体" w:hint="eastAsia"/>
                <w:b/>
                <w:color w:val="000000"/>
                <w:sz w:val="22"/>
              </w:rPr>
              <w:t xml:space="preserve">（74）专利代理机构 </w:t>
            </w:r>
            <w:r>
              <w:rPr>
                <w:rFonts w:ascii="宋体" w:hAnsi="宋体" w:cs="宋体"/>
                <w:color w:val="000000"/>
                <w:sz w:val="22"/>
              </w:rPr>
              <w:t>上海思微知识产权代理事务所（普通合伙）</w:t>
            </w:r>
          </w:p>
          <w:p w:rsidR="002876FB">
            <w:pPr>
              <w:rPr>
                <w:rFonts w:ascii="宋体" w:hAnsi="宋体" w:cs="宋体"/>
                <w:b/>
                <w:color w:val="000000"/>
                <w:sz w:val="22"/>
              </w:rPr>
            </w:pPr>
          </w:p>
          <w:p w:rsidR="002876FB">
            <w:pPr>
              <w:rPr>
                <w:rFonts w:ascii="宋体" w:hAnsi="宋体" w:cs="宋体"/>
                <w:color w:val="000000"/>
                <w:sz w:val="22"/>
              </w:rPr>
            </w:pPr>
            <w:r>
              <w:rPr>
                <w:rFonts w:ascii="宋体" w:hAnsi="宋体" w:cs="宋体" w:hint="eastAsia"/>
                <w:b/>
                <w:color w:val="000000"/>
                <w:sz w:val="22"/>
              </w:rPr>
              <w:t xml:space="preserve">      代理人 </w:t>
            </w:r>
            <w:r>
              <w:rPr>
                <w:rFonts w:ascii="宋体" w:hAnsi="宋体" w:cs="宋体"/>
                <w:color w:val="000000"/>
                <w:sz w:val="22"/>
              </w:rPr>
              <w:t>[沈宗晶]</w:t>
            </w:r>
          </w:p>
        </w:tc>
        <w:tc>
          <w:tcPr>
            <w:tcW w:w="4261" w:type="dxa"/>
            <w:shd w:val="clear" w:color="auto" w:fill="auto"/>
          </w:tcPr>
          <w:p w:rsidR="002876FB">
            <w:pPr>
              <w:rPr>
                <w:rFonts w:ascii="宋体" w:hAnsi="宋体" w:cs="宋体"/>
                <w:color w:val="000000"/>
                <w:sz w:val="22"/>
              </w:rPr>
            </w:pPr>
          </w:p>
        </w:tc>
      </w:tr>
      <w:tr>
        <w:tblPrEx>
          <w:tblW w:w="8522" w:type="dxa"/>
          <w:tblLayout w:type="fixed"/>
          <w:tblLook w:val="04A0"/>
        </w:tblPrEx>
        <w:trPr>
          <w:trHeight w:val="938"/>
        </w:trPr>
        <w:tc>
          <w:tcPr>
            <w:tcW w:w="4261" w:type="dxa"/>
            <w:tcBorders>
              <w:top w:val="single" w:sz="12" w:space="0" w:color="auto"/>
            </w:tcBorders>
            <w:shd w:val="clear" w:color="auto" w:fill="auto"/>
          </w:tcPr>
          <w:p w:rsidR="002876FB">
            <w:pPr>
              <w:rPr>
                <w:rFonts w:ascii="宋体" w:hAnsi="宋体" w:cs="宋体"/>
                <w:color w:val="000000"/>
                <w:sz w:val="22"/>
              </w:rPr>
            </w:pPr>
            <w:r>
              <w:rPr>
                <w:rFonts w:ascii="宋体" w:hAnsi="宋体" w:cs="宋体"/>
                <w:b/>
                <w:color w:val="000000"/>
                <w:sz w:val="22"/>
              </w:rPr>
              <w:t>（54）实用新型名称</w:t>
            </w:r>
          </w:p>
          <w:p w:rsidR="002876FB">
            <w:pPr>
              <w:rPr>
                <w:rFonts w:ascii="宋体" w:hAnsi="宋体" w:cs="宋体"/>
                <w:color w:val="000000"/>
                <w:sz w:val="22"/>
              </w:rPr>
            </w:pPr>
            <w:r>
              <w:rPr>
                <w:rFonts w:ascii="宋体" w:hAnsi="宋体" w:cs="宋体" w:hint="eastAsia"/>
                <w:b/>
                <w:color w:val="000000"/>
                <w:sz w:val="22"/>
              </w:rPr>
              <w:t xml:space="preserve">     </w:t>
            </w:r>
            <w:r>
              <w:rPr>
                <w:rFonts w:ascii="宋体" w:hAnsi="宋体" w:cs="宋体"/>
                <w:color w:val="000000"/>
                <w:sz w:val="22"/>
              </w:rPr>
              <w:t>盲道检测装置</w:t>
            </w:r>
          </w:p>
        </w:tc>
        <w:tc>
          <w:tcPr>
            <w:tcW w:w="4261" w:type="dxa"/>
            <w:vMerge w:val="restart"/>
            <w:tcBorders>
              <w:top w:val="single" w:sz="12" w:space="0" w:color="auto"/>
            </w:tcBorders>
            <w:shd w:val="clear" w:color="auto" w:fill="auto"/>
          </w:tcPr>
          <w:p w:rsidR="002876FB">
            <w:pPr>
              <w:rPr>
                <w:rFonts w:ascii="宋体" w:hAnsi="宋体" w:cs="宋体"/>
                <w:color w:val="000000"/>
                <w:sz w:val="22"/>
              </w:rPr>
            </w:pPr>
          </w:p>
          <w:p w:rsidR="002876FB">
            <w:pPr>
              <w:rPr>
                <w:rFonts w:ascii="宋体" w:hAnsi="宋体" w:cs="宋体"/>
                <w:color w:val="000000"/>
                <w:sz w:val="22"/>
              </w:rPr>
            </w:pPr>
            <w:r>
              <w:rPr>
                <w:rFonts w:ascii="宋体" w:hAnsi="宋体" w:cs="宋体"/>
                <w:color w:val="000000"/>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127.5pt;width:187.5pt">
                  <v:imagedata r:id="rId8" o:title=""/>
                </v:shape>
              </w:pict>
            </w:r>
          </w:p>
        </w:tc>
      </w:tr>
      <w:tr>
        <w:tblPrEx>
          <w:tblW w:w="8522" w:type="dxa"/>
          <w:tblLayout w:type="fixed"/>
          <w:tblLook w:val="04A0"/>
        </w:tblPrEx>
        <w:trPr>
          <w:trHeight w:val="5384"/>
        </w:trPr>
        <w:tc>
          <w:tcPr>
            <w:tcW w:w="4261" w:type="dxa"/>
            <w:shd w:val="clear" w:color="auto" w:fill="auto"/>
          </w:tcPr>
          <w:p w:rsidR="002876FB">
            <w:pPr>
              <w:rPr>
                <w:rFonts w:ascii="宋体" w:hAnsi="宋体" w:cs="宋体"/>
                <w:color w:val="000000"/>
                <w:sz w:val="22"/>
              </w:rPr>
            </w:pPr>
            <w:r>
              <w:rPr>
                <w:rFonts w:ascii="宋体" w:hAnsi="宋体" w:cs="宋体" w:hint="eastAsia"/>
                <w:b/>
                <w:color w:val="000000"/>
                <w:sz w:val="22"/>
              </w:rPr>
              <w:t>（57）摘要</w:t>
            </w:r>
          </w:p>
          <w:p w:rsidR="002876FB">
            <w:pPr>
              <w:rPr>
                <w:rFonts w:ascii="宋体" w:hAnsi="宋体" w:cs="宋体"/>
                <w:color w:val="000000"/>
                <w:sz w:val="22"/>
              </w:rPr>
            </w:pPr>
            <w:r>
              <w:rPr>
                <w:rFonts w:ascii="宋体" w:hAnsi="宋体" w:cs="宋体" w:hint="eastAsia"/>
                <w:color w:val="000000"/>
                <w:sz w:val="22"/>
              </w:rPr>
              <w:t xml:space="preserve">     </w:t>
            </w:r>
            <w:r>
              <w:rPr>
                <w:rFonts w:ascii="宋体" w:hAnsi="宋体" w:cs="宋体"/>
                <w:color w:val="000000"/>
                <w:sz w:val="22"/>
              </w:rPr>
              <w:t>本实用新型提供了一种盲道检测装置，包括：壳体，设在壳体底部的驱动轮，设于所述壳体底面的扫描探头及照明探头，设于壳体侧面的测障探头及触摸屏，设于壳体内部并依次相连的电源模块、定位器和处理器，所述控制器可以控制所述测障探头检测盲道上的障碍物，控制所述驱动轮绕开障碍物在盲道上运动以及控制所述扫描探头扫描盲道的样貌信息并保存，方便道路设施管理工作人员后续读取盲道样貌信息，提高了获取盲道样貌信息的全面性和智能性，保证了盲道检修的及时性和针对性。进一步的，所述定位器可以对存在障碍物的盲道位置实时定位并发送到附近执勤的交警的配套清障设备上，使得障碍物可及时被移除，方便视力障碍人员出行。</w:t>
            </w:r>
          </w:p>
        </w:tc>
        <w:tc>
          <w:tcPr>
            <w:tcW w:w="4261" w:type="dxa"/>
            <w:vMerge/>
            <w:shd w:val="clear" w:color="auto" w:fill="auto"/>
          </w:tcPr>
          <w:p w:rsidR="002876FB">
            <w:pPr>
              <w:rPr>
                <w:rFonts w:ascii="宋体" w:hAnsi="宋体" w:cs="宋体"/>
                <w:color w:val="000000"/>
                <w:sz w:val="22"/>
              </w:rPr>
            </w:pPr>
          </w:p>
        </w:tc>
      </w:tr>
    </w:tbl>
    <w:p w:rsidR="002876FB">
      <w:pPr>
        <w:rPr>
          <w:rFonts w:ascii="宋体" w:hAnsi="宋体" w:cs="宋体"/>
          <w:b/>
          <w:color w:val="000000"/>
          <w:sz w:val="3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2876FB">
            <w:pPr>
              <w:jc w:val="center"/>
              <w:rPr>
                <w:rFonts w:ascii="宋体" w:hAnsi="宋体" w:cs="宋体"/>
                <w:b/>
                <w:color w:val="000000"/>
                <w:sz w:val="32"/>
              </w:rPr>
            </w:pPr>
            <w:r>
              <w:rPr>
                <w:rFonts w:ascii="宋体" w:hAnsi="宋体" w:cs="宋体" w:hint="eastAsia"/>
                <w:b/>
                <w:color w:val="000000"/>
                <w:sz w:val="32"/>
              </w:rPr>
              <w:t>权 利 要 求 书</w:t>
            </w:r>
          </w:p>
        </w:tc>
      </w:tr>
    </w:tbl>
    <w:p w:rsidR="002876FB">
      <w:pPr>
        <w:ind w:firstLine="480" w:firstLineChars="200"/>
        <w:rPr>
          <w:rFonts w:ascii="宋体" w:hAnsi="宋体" w:cs="宋体"/>
          <w:b/>
          <w:color w:val="000000"/>
          <w:sz w:val="32"/>
        </w:rPr>
      </w:pPr>
      <w:r>
        <w:rPr>
          <w:rFonts w:ascii="宋体" w:hAnsi="宋体" w:cs="宋体"/>
          <w:color w:val="000000"/>
          <w:sz w:val="22"/>
          <w:szCs w:val="22"/>
        </w:rPr>
        <w:t>1.一种盲道检测装置，其特征在于，包括：壳体，设于所述壳体底部的驱动轮，设于所述壳体底面的扫描探头及照明探头，设于所述壳体侧面的测障探头及触摸屏，设于所述壳体内部并依次相连的电源模块、定位器和处理器，所述扫描探头、所述测障探头及所述触摸屏均与所述处理器相连，所述照明探头与所述电源模块相连。</w:t>
      </w:r>
    </w:p>
    <w:p>
      <w:pPr>
        <w:ind w:firstLine="480" w:firstLineChars="200"/>
        <w:rPr>
          <w:rFonts w:ascii="宋体" w:hAnsi="宋体" w:cs="宋体"/>
          <w:color w:val="000000"/>
          <w:sz w:val="22"/>
          <w:szCs w:val="22"/>
        </w:rPr>
      </w:pPr>
      <w:r>
        <w:rPr>
          <w:rFonts w:ascii="宋体" w:hAnsi="宋体" w:cs="宋体"/>
          <w:color w:val="000000"/>
          <w:sz w:val="22"/>
          <w:szCs w:val="22"/>
        </w:rPr>
        <w:t>2.根据权利要求1所述的盲道检测装置，其特征在于，所述驱动轮的数量为四个，分别两两相对地设置在所述壳体底部的两侧，两侧的所述驱动轮的间距可调。</w:t>
      </w:r>
    </w:p>
    <w:p>
      <w:pPr>
        <w:ind w:firstLine="480" w:firstLineChars="200"/>
        <w:rPr>
          <w:rFonts w:ascii="宋体" w:hAnsi="宋体" w:cs="宋体"/>
          <w:color w:val="000000"/>
          <w:sz w:val="22"/>
          <w:szCs w:val="22"/>
        </w:rPr>
      </w:pPr>
      <w:r>
        <w:rPr>
          <w:rFonts w:ascii="宋体" w:hAnsi="宋体" w:cs="宋体"/>
          <w:color w:val="000000"/>
          <w:sz w:val="22"/>
          <w:szCs w:val="22"/>
        </w:rPr>
        <w:t>3.根据权利要求2所述的盲道检测装置，其特征在于，所述盲道检测装置还包括驱动电机，所述驱动电机设于所述壳体内部靠近所述驱动轮的位置，所述处理器和所述驱动轮均与所述驱动电机相连。</w:t>
      </w:r>
    </w:p>
    <w:p>
      <w:pPr>
        <w:ind w:firstLine="480" w:firstLineChars="200"/>
        <w:rPr>
          <w:rFonts w:ascii="宋体" w:hAnsi="宋体" w:cs="宋体"/>
          <w:color w:val="000000"/>
          <w:sz w:val="22"/>
          <w:szCs w:val="22"/>
        </w:rPr>
      </w:pPr>
      <w:r>
        <w:rPr>
          <w:rFonts w:ascii="宋体" w:hAnsi="宋体" w:cs="宋体"/>
          <w:color w:val="000000"/>
          <w:sz w:val="22"/>
          <w:szCs w:val="22"/>
        </w:rPr>
        <w:t>4.根据权利要求3所述的盲道检测装置，其特征在于，所述驱动电机与所述驱动轮相对应，所述驱动电机的数量与所述驱动轮的数量相等。</w:t>
      </w:r>
    </w:p>
    <w:p>
      <w:pPr>
        <w:ind w:firstLine="480" w:firstLineChars="200"/>
        <w:rPr>
          <w:rFonts w:ascii="宋体" w:hAnsi="宋体" w:cs="宋体"/>
          <w:color w:val="000000"/>
          <w:sz w:val="22"/>
          <w:szCs w:val="22"/>
        </w:rPr>
      </w:pPr>
      <w:r>
        <w:rPr>
          <w:rFonts w:ascii="宋体" w:hAnsi="宋体" w:cs="宋体"/>
          <w:color w:val="000000"/>
          <w:sz w:val="22"/>
          <w:szCs w:val="22"/>
        </w:rPr>
        <w:t>5.根据权利要求4所述的盲道检测装置，其特征在于，所述扫描探头的数量为两个，所述扫描探头置于两侧驱动轮的内侧。</w:t>
      </w:r>
    </w:p>
    <w:p>
      <w:pPr>
        <w:ind w:firstLine="480" w:firstLineChars="200"/>
        <w:rPr>
          <w:rFonts w:ascii="宋体" w:hAnsi="宋体" w:cs="宋体"/>
          <w:color w:val="000000"/>
          <w:sz w:val="22"/>
          <w:szCs w:val="22"/>
        </w:rPr>
      </w:pPr>
      <w:r>
        <w:rPr>
          <w:rFonts w:ascii="宋体" w:hAnsi="宋体" w:cs="宋体"/>
          <w:color w:val="000000"/>
          <w:sz w:val="22"/>
          <w:szCs w:val="22"/>
        </w:rPr>
        <w:t>6.根据权利要求1所述的盲道检测装置，其特征在于，所述壳体的顶部设有开关键和复位键，所述开关键与所述复位键均与所述处理器相连。</w:t>
      </w:r>
    </w:p>
    <w:p>
      <w:pPr>
        <w:ind w:firstLine="480" w:firstLineChars="200"/>
        <w:rPr>
          <w:rFonts w:ascii="宋体" w:hAnsi="宋体" w:cs="宋体"/>
          <w:color w:val="000000"/>
          <w:sz w:val="22"/>
          <w:szCs w:val="22"/>
        </w:rPr>
      </w:pPr>
      <w:r>
        <w:rPr>
          <w:rFonts w:ascii="宋体" w:hAnsi="宋体" w:cs="宋体"/>
          <w:color w:val="000000"/>
          <w:sz w:val="22"/>
          <w:szCs w:val="22"/>
        </w:rPr>
        <w:t>7.根据权利要求1所述的盲道检测装置，其特征在于，所述壳体的侧面设有一接口，所述电源模块和所述处理器均与所述接口相连。</w:t>
      </w:r>
    </w:p>
    <w:p>
      <w:pPr>
        <w:ind w:firstLine="480" w:firstLineChars="200"/>
        <w:rPr>
          <w:rFonts w:ascii="宋体" w:hAnsi="宋体" w:cs="宋体"/>
          <w:color w:val="000000"/>
          <w:sz w:val="22"/>
          <w:szCs w:val="22"/>
        </w:rPr>
      </w:pPr>
      <w:r>
        <w:rPr>
          <w:rFonts w:ascii="宋体" w:hAnsi="宋体" w:cs="宋体"/>
          <w:color w:val="000000"/>
          <w:sz w:val="22"/>
          <w:szCs w:val="22"/>
        </w:rPr>
        <w:t>8.根据权利要求1所述的盲道检测装置，其特征在于，所述测障探头的数量大于或者等于四个，所述测障探头均匀地设于同一高度的所述壳体侧面上。</w:t>
      </w:r>
    </w:p>
    <w:p>
      <w:pPr>
        <w:ind w:firstLine="480" w:firstLineChars="200"/>
        <w:rPr>
          <w:rFonts w:ascii="宋体" w:hAnsi="宋体" w:cs="宋体"/>
          <w:color w:val="000000"/>
          <w:sz w:val="22"/>
          <w:szCs w:val="22"/>
        </w:rPr>
      </w:pPr>
      <w:r>
        <w:rPr>
          <w:rFonts w:ascii="宋体" w:hAnsi="宋体" w:cs="宋体"/>
          <w:color w:val="000000"/>
          <w:sz w:val="22"/>
          <w:szCs w:val="22"/>
        </w:rPr>
        <w:t>9.根据权利要求8所述的盲道检测装置，其特征在于，两两相邻的所述测障探头之间的距离均相等。</w:t>
      </w:r>
    </w:p>
    <w:p>
      <w:pPr>
        <w:ind w:firstLine="480" w:firstLineChars="200"/>
        <w:rPr>
          <w:rFonts w:ascii="宋体" w:hAnsi="宋体" w:cs="宋体"/>
          <w:color w:val="000000"/>
          <w:sz w:val="22"/>
          <w:szCs w:val="22"/>
        </w:rPr>
      </w:pPr>
      <w:r>
        <w:rPr>
          <w:rFonts w:ascii="宋体" w:hAnsi="宋体" w:cs="宋体"/>
          <w:color w:val="000000"/>
          <w:sz w:val="22"/>
          <w:szCs w:val="22"/>
        </w:rPr>
        <w:t>10.根据权利要求1所述的盲道检测装置，其特征在于，所述照明探头为LED光源探头。</w:t>
      </w:r>
    </w:p>
    <w:p>
      <w:pPr>
        <w:ind w:firstLine="480" w:firstLineChars="200"/>
        <w:rPr>
          <w:rFonts w:ascii="宋体" w:hAnsi="宋体" w:cs="宋体"/>
          <w:color w:val="000000"/>
          <w:sz w:val="22"/>
          <w:szCs w:val="22"/>
        </w:rPr>
      </w:pPr>
      <w:r>
        <w:rPr>
          <w:rFonts w:ascii="宋体" w:hAnsi="宋体" w:cs="宋体"/>
          <w:color w:val="000000"/>
          <w:sz w:val="22"/>
          <w:szCs w:val="22"/>
        </w:rPr>
        <w:t>11.根据权利要求1所述的盲道检测装置，其特征在于，所述壳体的侧面还设有一嵌入式卡槽，所述处理器和所述触摸屏均与所述卡槽相连。</w:t>
      </w:r>
    </w:p>
    <w:p>
      <w:pPr>
        <w:ind w:firstLine="480" w:firstLineChars="200"/>
        <w:rPr>
          <w:rFonts w:ascii="宋体" w:hAnsi="宋体" w:cs="宋体"/>
          <w:color w:val="000000"/>
          <w:sz w:val="22"/>
          <w:szCs w:val="22"/>
        </w:rPr>
      </w:pPr>
      <w:r>
        <w:rPr>
          <w:rFonts w:ascii="宋体" w:hAnsi="宋体" w:cs="宋体"/>
          <w:b/>
          <w:color w:val="000000"/>
          <w:sz w:val="3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2876FB">
            <w:pPr>
              <w:jc w:val="center"/>
              <w:rPr>
                <w:rFonts w:ascii="宋体" w:hAnsi="宋体" w:cs="宋体"/>
                <w:b/>
                <w:color w:val="000000"/>
                <w:sz w:val="32"/>
              </w:rPr>
            </w:pPr>
            <w:r>
              <w:rPr>
                <w:rFonts w:ascii="宋体" w:hAnsi="宋体" w:cs="宋体" w:hint="eastAsia"/>
                <w:b/>
                <w:color w:val="000000"/>
                <w:sz w:val="32"/>
              </w:rPr>
              <w:t>说 明 书</w:t>
            </w:r>
          </w:p>
        </w:tc>
      </w:tr>
    </w:tbl>
    <w:p w:rsidR="002876FB">
      <w:pPr>
        <w:ind w:firstLine="480" w:firstLineChars="200"/>
        <w:jc w:val="center"/>
        <w:rPr>
          <w:rFonts w:ascii="宋体" w:hAnsi="宋体" w:cs="宋体"/>
          <w:color w:val="000000"/>
          <w:sz w:val="22"/>
          <w:szCs w:val="22"/>
        </w:rPr>
      </w:pPr>
      <w:r>
        <w:rPr>
          <w:rFonts w:ascii="宋体" w:eastAsia="宋体" w:hAnsi="宋体" w:cs="宋体"/>
          <w:b/>
          <w:color w:val="000000"/>
          <w:sz w:val="26"/>
          <w:szCs w:val="22"/>
        </w:rPr>
        <w:t>盲道检测装置</w:t>
      </w:r>
    </w:p>
    <w:p>
      <w:pPr>
        <w:ind w:firstLine="480" w:firstLineChars="200"/>
        <w:jc w:val="both"/>
        <w:rPr>
          <w:rFonts w:ascii="宋体" w:eastAsia="宋体" w:hAnsi="宋体" w:cs="宋体"/>
          <w:b/>
          <w:color w:val="000000"/>
          <w:sz w:val="26"/>
          <w:szCs w:val="22"/>
        </w:rPr>
      </w:pPr>
      <w:r>
        <w:rPr>
          <w:rFonts w:ascii="宋体" w:eastAsia="宋体" w:hAnsi="宋体" w:cs="宋体"/>
          <w:b/>
          <w:color w:val="000000"/>
          <w:sz w:val="22"/>
          <w:szCs w:val="22"/>
        </w:rPr>
        <w:t>技术领域</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本实用新型涉及检测技术领域，特别涉及一种盲道检测装置。</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背景技术</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随着城市中无障碍环境建设的深入开展，盲道的覆盖率已经相对较高。但是，城市中盲道的不合理占用，盲道道砖的损坏以及盲道局部缺失等现象普遍存在，这给视障人士的出行带来极大的不便，甚至可能造成一定的人身伤害。</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目前，盲道清障和盲道检修等工作主要还是依靠道路管理工作人员亲自到现场排查，这样会造成人力的浪费并且工作人员工作起来没有针对性。如何高效高质的完成盲道清障以及现有损毁盲道的检测和维修工作，成为市政道路管理者需要解决的难题。</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实用新型内容</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本实用新型的目的在于提供一种盲道检测装置，以解决获取盲道缺损信息不及时、不全面以及不智能的问题。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为解决上述技术问题，本实用新型提供一种盲道检测装置，包括：壳体，设于所述壳体底部的驱动轮，设于所述壳体底面的扫描探头及照明探头，设于所述壳体侧面的测障探头及触摸屏，设于所述壳体内部并依次相连的电源模块、定位器和处理器，所述扫描探头、所述测障探头及所述触摸屏均与所述处理器相连，所述照明探头与所述电源模块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可选的，在所述盲道检测装置中，所述驱动轮的数量为四个，分别两两相对地设置在所述壳体底部的两侧，两侧的所述驱动轮的间距可调。</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可选的，在所述盲道检测装置中，所述盲道检测装置还包括驱动电机，所述驱动电机设于所述壳体内部靠近所述驱动轮的位置，所述处理器和所述驱动轮均与所述驱动电机相连。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可选的，在所述盲道检测装置中，所述驱动电机与所述驱动轮相对应，所述驱动电机的数量与所述驱动轮的数量相等。</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可选的，在所述盲道检测装置中，所述扫描探头的数量为两个，所述扫描探头置于两侧驱动轮的内侧。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可选的，在所述盲道检测装置中，所述壳体的顶部设有开关键和复位键，所述开关键与所述复位键均与所述处理器相连。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可选的，在所述盲道检测装置中，所述壳体的侧面设有一接口，所述电源模块和所述处理器均与所述接口相连。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可选的，在所述盲道检测装置中，所述测障探头的数量大于或者等于四个，所述测障探头均匀地设于同一高度的所述壳体侧面上。</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可选的，在所述盲道检测装置中，两两相邻的所述测障探头之间的距离均相等。</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可选的，在所述盲道检测装置中，所述照明探头为LED光源探头。</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可选的，在所述盲道检测装置中，所述壳体的侧面还设有一嵌入式卡槽，所述处理器和所述触摸屏均与所述卡槽相连。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综上，本实用新型提供一种盲道检测装置，包括：壳体，设在壳体底部的驱动轮，设于所述壳体底面的扫描探头及照明探头，设于壳体侧面的测障探头及触摸屏，设于壳体内部并依次相连的电源模块、定位器和处理器，所述控制器可以控制所述测障探头检测盲道上的障碍物，控制所述驱动轮绕开障碍物在盲道上运动以及控制所述扫描探头扫描盲道的样貌信息并保存，方便道路设施管理工作人员后续读取盲道样貌信息，提高了获取盲道样貌信息的全面性和智能性，保证了盲道检修的及时性和针对性。进一步的，所述定位器可以对存在障碍物的盲道位置实时定位并发送到附近执勤的交警的配套清障设备上，使得障碍物可以及时的被移除，方便视力障碍人员出行。进一步的，所述测障探头可以避免撞上行人和障碍物，提高了该装置的可靠性。</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附图说明</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图1是本实用新型实施例的盲道检测装置示意图；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其中，</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100-壳体，110-驱动轮，120-测障探头，130-照明探头，140-扫描探头，150-触摸屏，160-接口，170-电源模块，180-定位器，190-处理器。</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具体实施方式</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以下结合附图和具体实施例对本实用新型提出的盲道检测装置作进一步详细说明。根据下面说明和权利要求书，本实用新型的优点和特征将更清楚。需说明的是，附图均采用非常简化的形式且均使用非精准的比例，仅用以方便、明晰地辅助说明本实用新型实施例的目的。此外，附图所展示的结构往往是实际结构的一部分。特别的，各附图需要展示的侧重点不同，有时会采用不同的比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实用新型提供了一种盲道检测装置，请参考图1，图1是本实用新型实施例的盲道检测装置示意图，包括：壳体100，设于所述壳体100底部的驱动轮110，设于所述壳体100底面的扫描探头140及照明探头130，设于所述壳体100侧面的测障探头120及触摸屏150，设于所述壳体100内部并依次相连的电源模块170、定位器180和处理器190，所述扫描探头140、所述测障探头120及所述触摸屏150均与所述处理器190相连，所述照明探头130与所述电源模块170相连；</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所述触摸屏150用于设置所述盲道检测装置的行驶路径，并显示行驶路径以及盲道样貌信息；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扫描探头140用于扫描盲道样貌信息并将所述盲道样貌信息储存在所述处理器190中，利用所述扫描探头140检测盲道样貌信息，方便后续道路设施管理工作人员读取盲道样貌信息，使得被损坏的盲道可以及时地得到修整，保障了视障人员出行的安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所述照明探头130用于给进行扫描工作的所述扫描探头140供明；</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所述测障探头120用于检测盲道上的障碍物并反馈给所述处理器190，所述测障探头120可以避免撞上行人和障碍物，提高了所述盲道检测装置的可靠性；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所述处理器190用于接收所述测障探头120和所述扫描探头140的反馈以及控制所述驱动轮110的移动；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所述定位器180用于对所述盲道检测装置进行实时定位，所述定位器可以对存在障碍物的盲道位置实时定位并发送到附近执勤的交警的配套清障设备上，使得障碍物可以及时的被移除，方便视力障碍人员出行。</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实施例中，所述驱动轮110的数量为四个，分别两两相对地设置在所述壳体100底部的两侧，两侧的所述驱动轮110的间距可调。因国际标准的盲道宽度为0.40～0.80m，所以所述横跨盲道的驱动轮110之间的间距可调以适应不同宽度的盲道，两侧的所述驱动轮110的间距可调，提高了所述盲道检测装置的通用性和可靠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盲道检测装置还包括驱动电机(未图示)，所述驱动电机设于所述壳体100内部靠近所述驱动轮110的位置，所述处理器190和所述驱动轮110均与所述驱动电机相连。所述处理器190控制所述驱动电机的启停以此来控制所述驱动轮110的运动和静止。</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实施例中，所述驱动电机与所述驱动轮110相对应，所述驱动电机的数量与所述驱动轮110的数量相等，所述驱动轮110的数量为4个，所以在所述壳体100内部靠近每个驱动轮110的位置各设置1个驱动电机，独立式的驱动不会造成所述处理器190瞬间电流过大，这样更有利于所述处理器190内部的电路稳定。</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扫描探头140的数量为两个，所述扫描探头140置于两侧驱动轮110的内侧，除去所述扫描探头140的扫描叠加区间，所述扫描探头140的扫描区间的宽度大于或者等于盲道的宽度，提高了采集的盲道样貌信息的完整性和可靠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壳体100的顶部设有开关键和复位键，所述开关键与所述复位键均与所述处理器190相连，所述处理器190通过所述开关键来控制所述盲道检测装置的启停；若所述盲道检测装置出现死机等故障时，可以通过所述复位键来重启所述盲道检测装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实施例中，所述壳体100的侧面设有一接口160，所述电源模块170和所述处理器190均与所述接口160相连，外部上位机端可以通过所述接口160导出所述处理器190中存储的盲道样貌信息文件包，这样方便道路设施管理工作人员后续读取盲道样貌信息，提高了获取盲道样貌信息的全面性和智能性，保证了盲道检修的及时性和针对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的，所述测障探头120的数量大于或者等于四个，所述测障探头120均匀地设于同一高度的所述壳体100侧面上，优选的，两两相邻的所述测障探头120之间的距离均相等。所述测障探头120均匀地分设在所述壳体100的周围有利于全方位地检测盲道上有无障碍物，同时有可以及时避让周围行走的行人，提高了所述盲道检测装置的智能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优选的，所述照明探头130为LED光源探头，LED光源发光效率高，耗电量小，使用寿命长，并且工作温度低，LED光源式的照明探头130可以延长所述盲道检测装置的工作时间，从而提高了所述盲道检测装置的工作效率。</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本实施例中，所述壳体100的侧面还设有一嵌入式卡槽(未图示)，所述处理器190和所述触摸屏150均与所述卡槽相连，所述卡槽中可以存放移动存储卡，所述盲道样貌信息可以直接存储在移动存储卡中，这样进一步的方便道路设施管理工作人员后续直接拿取所述移动存储卡来读取盲道样貌信息，进一步提高了获取盲道样貌信息的全面性和智能性，进一步保证了盲道检修的及时性和针对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综上，本实用新型提供一种盲道检测装置，包括：壳体，设在壳体底部的驱动轮，设于所述壳体底面的扫描探头及照明探头，设于壳体侧面的测障探头及触摸屏，设于壳体内部并依次相连的电源模块、定位器和处理器，所述控制器可以控制所述测障探头检测盲道上的障碍物，控制所述驱动轮绕开障碍物在盲道上运动以及控制所述扫描探头扫描盲道的样貌信息并保存，方便道路设施管理工作人员后续读取盲道样貌信息，提高了获取盲道样貌信息的全面性和智能性，保证了盲道检修的及时性和针对性。进一步的，所述定位器可以对存在障碍物的盲道位置实时定位并发送到附近执勤的交警的配套清障设备上，使得障碍物可以及时的被移除，方便视力障碍人员出行。进一步的，所述测障探头可以避免撞上行人和障碍物，提高了该装置的可靠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上述描述仅是对本实用新型较佳实施例的描述，并非对本实用新型范围的任何限定，本实用新型领域的普通技术人员根据上述揭示内容做的任何变更、修饰，均属于权利要求书的保护范围。</w:t>
      </w:r>
    </w:p>
    <w:p>
      <w:pPr>
        <w:ind w:firstLine="480" w:firstLineChars="200"/>
        <w:jc w:val="both"/>
        <w:rPr>
          <w:rFonts w:ascii="宋体" w:eastAsia="宋体" w:hAnsi="宋体" w:cs="宋体"/>
          <w:b w:val="0"/>
          <w:color w:val="000000"/>
          <w:sz w:val="22"/>
          <w:szCs w:val="22"/>
        </w:rPr>
      </w:pPr>
      <w:r>
        <w:rPr>
          <w:rFonts w:ascii="宋体" w:hAnsi="宋体" w:cs="宋体"/>
          <w:color w:val="000000"/>
          <w:sz w:val="22"/>
          <w:szCs w:val="2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2876FB">
            <w:pPr>
              <w:jc w:val="center"/>
              <w:rPr>
                <w:rFonts w:ascii="宋体" w:hAnsi="宋体" w:cs="宋体"/>
                <w:b/>
                <w:color w:val="000000"/>
                <w:sz w:val="32"/>
                <w:szCs w:val="32"/>
              </w:rPr>
            </w:pPr>
            <w:r>
              <w:rPr>
                <w:rFonts w:ascii="宋体" w:hAnsi="宋体" w:cs="宋体" w:hint="eastAsia"/>
                <w:b/>
                <w:color w:val="000000"/>
                <w:sz w:val="32"/>
                <w:szCs w:val="32"/>
              </w:rPr>
              <w:t>说 明 书 附 图</w:t>
            </w:r>
          </w:p>
        </w:tc>
      </w:tr>
    </w:tbl>
    <w:p w:rsidR="002876FB">
      <w:pPr>
        <w:jc w:val="center"/>
        <w:rPr>
          <w:rFonts w:ascii="宋体" w:hAnsi="宋体" w:cs="宋体"/>
          <w:b/>
          <w:color w:val="000000"/>
          <w:sz w:val="26"/>
          <w:szCs w:val="22"/>
        </w:rPr>
      </w:pPr>
      <w:r>
        <w:rPr>
          <w:rFonts w:ascii="宋体" w:hAnsi="宋体" w:cs="宋体"/>
          <w:b/>
          <w:color w:val="000000"/>
          <w:sz w:val="26"/>
          <w:szCs w:val="22"/>
        </w:rPr>
        <w:pict>
          <v:shape id="_x0000_i1027" type="#_x0000_t75" style="height:258pt;width:375pt">
            <v:imagedata r:id="rId9"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p>
    <w:sectPr>
      <w:footerReference w:type="default" r:id="rId10"/>
      <w:pgSz w:w="11906" w:h="16838"/>
      <w:pgMar w:top="1440" w:right="1800" w:bottom="1440" w:left="1800" w:header="709" w:footer="709"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6FB">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9525">
                        <a:noFill/>
                      </a:ln>
                    </wps:spPr>
                    <wps:txbx>
                      <w:txbxContent>
                        <w:p w:rsidR="002876F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F1B27">
                            <w:rPr>
                              <w:noProof/>
                              <w:sz w:val="18"/>
                            </w:rPr>
                            <w:t>1</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49" type="#_x0000_t202" style="height:2in;margin-left:0;margin-top:0;mso-position-horizontal:center;mso-position-horizontal-relative:margin;mso-wrap-distance-bottom:0;mso-wrap-distance-left:9pt;mso-wrap-distance-right:9pt;mso-wrap-distance-top:0;mso-wrap-style:none;position:absolute;v-text-anchor:top;visibility:visible;width:2in;z-index:251659264" filled="f" stroked="f">
              <v:textbox style="mso-fit-shape-to-text:t" inset="0,0,0,0">
                <w:txbxContent>
                  <w:p w:rsidR="002876F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F1B27">
                      <w:rPr>
                        <w:noProof/>
                        <w:sz w:val="18"/>
                      </w:rPr>
                      <w:t>1</w:t>
                    </w:r>
                    <w:r>
                      <w:rPr>
                        <w:rFonts w:hint="eastAsia"/>
                        <w:sz w:val="1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720"/>
  <w:noPunctuationKerning/>
  <w:characterSpacingControl w:val="doNotCompres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qFormat="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rPr>
      <w:sz w:val="18"/>
      <w:szCs w:val="18"/>
    </w:rPr>
  </w:style>
  <w:style w:type="paragraph" w:styleId="Footer">
    <w:name w:val="footer"/>
    <w:basedOn w:val="Normal"/>
    <w:link w:val="a1"/>
    <w:pPr>
      <w:tabs>
        <w:tab w:val="center" w:pos="4153"/>
        <w:tab w:val="right" w:pos="8306"/>
      </w:tabs>
      <w:snapToGrid w:val="0"/>
    </w:pPr>
    <w:rPr>
      <w:sz w:val="18"/>
      <w:szCs w:val="18"/>
    </w:rPr>
  </w:style>
  <w:style w:type="paragraph" w:styleId="Header">
    <w:name w:val="header"/>
    <w:basedOn w:val="Normal"/>
    <w:link w:val="a0"/>
    <w:uiPriority w:val="99"/>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qFormat/>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a">
    <w:name w:val="批注框文本 字符"/>
    <w:link w:val="BalloonText"/>
    <w:rPr>
      <w:sz w:val="18"/>
      <w:szCs w:val="18"/>
    </w:rPr>
  </w:style>
  <w:style w:type="character" w:customStyle="1" w:styleId="a0">
    <w:name w:val="页眉 字符"/>
    <w:link w:val="Header"/>
    <w:uiPriority w:val="99"/>
    <w:qFormat/>
    <w:rPr>
      <w:sz w:val="18"/>
      <w:szCs w:val="18"/>
    </w:rPr>
  </w:style>
  <w:style w:type="character" w:customStyle="1" w:styleId="a1">
    <w:name w:val="页脚 字符"/>
    <w:link w:val="Footer"/>
    <w:qFormat/>
    <w:rPr>
      <w:sz w:val="18"/>
      <w:szCs w:val="18"/>
    </w:rPr>
  </w:style>
  <w:style w:type="paragraph" w:customStyle="1" w:styleId="1">
    <w:name w:val="无间隔1"/>
    <w:link w:val="a2"/>
    <w:uiPriority w:val="1"/>
    <w:qFormat/>
    <w:rPr>
      <w:rFonts w:ascii="Calibri" w:hAnsi="Calibri"/>
      <w:sz w:val="22"/>
      <w:szCs w:val="22"/>
    </w:rPr>
  </w:style>
  <w:style w:type="character" w:customStyle="1" w:styleId="a2">
    <w:name w:val="无间隔 字符"/>
    <w:link w:val="1"/>
    <w:uiPriority w:val="1"/>
    <w:qFormat/>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91564F-4946-47A1-9AAA-7EDF50A08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（19）中国人民共和国国家知识产权局</dc:title>
  <dc:creator>王彬彬</dc:creator>
  <cp:keywords>PubNum</cp:keywords>
  <cp:lastModifiedBy>dz-pc</cp:lastModifiedBy>
  <cp:revision>60</cp:revision>
  <dcterms:created xsi:type="dcterms:W3CDTF">2014-06-10T08:23:00Z</dcterms:created>
  <dcterms:modified xsi:type="dcterms:W3CDTF">2017-04-19T07:52:00Z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